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HJSBMCZZZC001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河间市百名彩砖制造厂</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混凝土实心砖新建项目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河间市百名彩砖制造厂</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河间市百名彩砖制造厂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20</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11</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8"/>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40"/>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40"/>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40"/>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40"/>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40"/>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4.1建设项目环评报告</w:t>
          </w:r>
          <w:r>
            <w:rPr>
              <w:rStyle w:val="40"/>
              <w:rFonts w:hint="eastAsia" w:ascii="Times New Roman" w:hAnsi="Times New Roman" w:eastAsia="宋体" w:cs="Times New Roman"/>
              <w:sz w:val="24"/>
              <w:szCs w:val="24"/>
              <w:lang w:val="en-US" w:eastAsia="zh-CN"/>
            </w:rPr>
            <w:t>表</w:t>
          </w:r>
          <w:r>
            <w:rPr>
              <w:rStyle w:val="40"/>
              <w:rFonts w:hint="default" w:ascii="Times New Roman" w:hAnsi="Times New Roman" w:eastAsia="宋体" w:cs="Times New Roman"/>
              <w:sz w:val="24"/>
              <w:szCs w:val="24"/>
            </w:rPr>
            <w:t>的主要结论</w:t>
          </w:r>
          <w:r>
            <w:rPr>
              <w:rStyle w:val="40"/>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40"/>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15</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40"/>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40"/>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40"/>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40"/>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40"/>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40"/>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7"/>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5"/>
        <w:jc w:val="center"/>
        <w:rPr>
          <w:rFonts w:hint="default" w:ascii="Times New Roman" w:hAnsi="Times New Roman" w:cs="Times New Roman"/>
        </w:rPr>
      </w:pPr>
      <w:bookmarkStart w:id="2" w:name="_Toc504325317"/>
    </w:p>
    <w:p>
      <w:pPr>
        <w:pStyle w:val="5"/>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5"/>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河间市百名彩砖制造厂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河间市北石槽乡满堂村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50万元建设</w:t>
      </w:r>
      <w:r>
        <w:rPr>
          <w:rFonts w:hint="eastAsia" w:ascii="Times New Roman" w:hAnsi="Times New Roman" w:eastAsia="宋体" w:cs="Times New Roman"/>
          <w:color w:val="000000"/>
          <w:sz w:val="24"/>
          <w:szCs w:val="24"/>
          <w:lang w:eastAsia="zh-CN"/>
        </w:rPr>
        <w:t>混凝土实心砖新建项目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河北韵楷环境科技有限公司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2020年09月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河间市百名彩砖制造厂混凝土实心砖新建项目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2020年10月22日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河环表[2020]（10-22）号。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河间市百名彩砖制造厂混凝土实心砖新建项目现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河间市百名彩砖制造厂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2020年10月28日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2020年10月29日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河间市百名彩砖制造厂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5"/>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6"/>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6"/>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lang w:eastAsia="zh-CN"/>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）《水泥工业大气污染物超低排放标准》（DB13/ 2167-2020）；</w:t>
      </w:r>
    </w:p>
    <w:p>
      <w:pPr>
        <w:pStyle w:val="2"/>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6"/>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河间市百名彩砖制造厂混凝土实心砖新建项目环境影响报告表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河北韵楷环境科技有限公司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2020年09月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河间市百名彩砖制造厂混凝土实心砖新建项目环境影响报告表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河环表[2020]（10-22）号，2020年10月22日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504325324"/>
      <w:bookmarkStart w:id="10" w:name="_Toc497001436"/>
      <w:bookmarkStart w:id="11" w:name="_Toc496979000"/>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1050"/>
        <w:gridCol w:w="172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河间市百名彩砖制造厂混凝土实心砖新建项目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河间市百名彩砖制造厂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张百名</w:t>
            </w:r>
          </w:p>
        </w:tc>
        <w:tc>
          <w:tcPr>
            <w:tcW w:w="1727"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037"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张百名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河间市北石槽乡满堂村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13832727580</w:t>
            </w:r>
          </w:p>
        </w:tc>
        <w:tc>
          <w:tcPr>
            <w:tcW w:w="1727"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037"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06245</w:t>
            </w:r>
            <w:r>
              <w:rPr>
                <w:rFonts w:hint="eastAsia" w:ascii="Times New Roman" w:hAnsi="Times New Roman" w:eastAsia="宋体"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新建</w:t>
            </w:r>
          </w:p>
        </w:tc>
        <w:tc>
          <w:tcPr>
            <w:tcW w:w="1727"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rPr>
              <w:t>行业类别</w:t>
            </w:r>
            <w:r>
              <w:rPr>
                <w:rFonts w:hint="eastAsia" w:ascii="Times New Roman" w:hAnsi="Times New Roman" w:eastAsia="宋体" w:cs="Times New Roman"/>
                <w:lang w:val="en-US" w:eastAsia="zh-CN"/>
              </w:rPr>
              <w:t>及代码</w:t>
            </w:r>
          </w:p>
        </w:tc>
        <w:tc>
          <w:tcPr>
            <w:tcW w:w="3037" w:type="dxa"/>
            <w:gridSpan w:val="2"/>
            <w:tcMar>
              <w:top w:w="0" w:type="dxa"/>
              <w:left w:w="51" w:type="dxa"/>
              <w:bottom w:w="0" w:type="dxa"/>
              <w:right w:w="51" w:type="dxa"/>
            </w:tcMar>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C3021水泥制品制造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河间市北石槽乡满堂村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bookmarkStart w:id="128" w:name="_GoBack"/>
            <w:bookmarkEnd w:id="128"/>
            <w:r>
              <w:rPr>
                <w:rFonts w:hint="eastAsia" w:ascii="Times New Roman" w:hAnsi="Times New Roman" w:eastAsia="宋体" w:cs="Times New Roman"/>
                <w:color w:val="000000"/>
                <w:szCs w:val="21"/>
                <w:lang w:val="en-US" w:eastAsia="zh-CN"/>
              </w:rPr>
              <w:t>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105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w:t>
            </w:r>
          </w:p>
        </w:tc>
        <w:tc>
          <w:tcPr>
            <w:tcW w:w="172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14</w:t>
            </w:r>
          </w:p>
        </w:tc>
      </w:tr>
    </w:tbl>
    <w:p>
      <w:pPr>
        <w:pStyle w:val="7"/>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496979001"/>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河间市北石槽乡满堂村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sz w:val="24"/>
          <w:highlight w:val="none"/>
        </w:rPr>
        <w:t>北纬38°36'44.22"，东经116°13'07.72"。项目西侧北部为乡间道路，西侧南部、东侧、北侧、南侧为林地，东侧27m为L11省道。项目东侧43m为满堂村，东侧1922m为邓各庄村，北侧1493m为东陈庄村，南侧1588m为北石槽乡，西侧3074m处为古洋河</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6979002"/>
      <w:bookmarkStart w:id="17" w:name="_Toc497001438"/>
      <w:bookmarkStart w:id="18" w:name="_Toc504325326"/>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rPr>
        <w:t>项目厂区总占地面积3680m</w:t>
      </w:r>
      <w:r>
        <w:rPr>
          <w:rFonts w:hint="default" w:ascii="Times New Roman" w:hAnsi="Times New Roman" w:eastAsia="宋体" w:cs="Times New Roman"/>
          <w:bCs/>
          <w:sz w:val="24"/>
          <w:vertAlign w:val="superscript"/>
        </w:rPr>
        <w:t>2</w:t>
      </w:r>
      <w:r>
        <w:rPr>
          <w:rFonts w:hint="default" w:ascii="Times New Roman" w:hAnsi="Times New Roman" w:eastAsia="宋体" w:cs="Times New Roman"/>
          <w:bCs/>
          <w:sz w:val="24"/>
        </w:rPr>
        <w:t>，养护场地位于厂区北部，生产车间位于厂区西侧，库房位于厂区西南侧（用于存放成品），储料库位于厂区西南侧（用于存放沙子、石头）</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厂区平面布置图见附图3。</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rPr>
      </w:pPr>
      <w:r>
        <w:rPr>
          <w:rFonts w:hint="eastAsia" w:ascii="Times New Roman" w:hAnsi="Times New Roman" w:eastAsia="宋体" w:cs="Times New Roman"/>
          <w:sz w:val="24"/>
          <w:szCs w:val="24"/>
          <w:lang w:eastAsia="zh-CN"/>
        </w:rPr>
        <w:t>年产混凝土实心砖5000万标块</w:t>
      </w:r>
      <w:r>
        <w:rPr>
          <w:rFonts w:hint="eastAsia" w:ascii="Times New Roman" w:hAnsi="Times New Roman" w:eastAsia="宋体" w:cs="Times New Roman"/>
          <w:sz w:val="24"/>
          <w:szCs w:val="24"/>
          <w:lang w:val="en-US" w:eastAsia="zh-CN"/>
        </w:rPr>
        <w:t>。</w:t>
      </w:r>
      <w:bookmarkStart w:id="21" w:name="_Toc504325329"/>
      <w:r>
        <w:rPr>
          <w:rFonts w:hint="default" w:ascii="Times New Roman" w:hAnsi="Times New Roman" w:cs="Times New Roman"/>
        </w:rPr>
        <w:br w:type="page"/>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4"/>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 xml:space="preserve">年消耗量 </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1</w:t>
            </w:r>
          </w:p>
        </w:tc>
        <w:tc>
          <w:tcPr>
            <w:tcW w:w="2965" w:type="dxa"/>
            <w:vAlign w:val="center"/>
          </w:tcPr>
          <w:p>
            <w:pPr>
              <w:widowControl/>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eastAsia="zh-CN"/>
              </w:rPr>
              <w:t>水泥</w:t>
            </w:r>
          </w:p>
        </w:tc>
        <w:tc>
          <w:tcPr>
            <w:tcW w:w="1701"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t/a</w:t>
            </w:r>
          </w:p>
        </w:tc>
        <w:tc>
          <w:tcPr>
            <w:tcW w:w="1543"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2400</w:t>
            </w:r>
          </w:p>
        </w:tc>
        <w:tc>
          <w:tcPr>
            <w:tcW w:w="1529"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u w:val="none" w:color="000000"/>
                <w:lang w:val="en-US" w:eastAsia="zh-CN" w:bidi="ar-SA"/>
              </w:rPr>
            </w:pPr>
            <w:r>
              <w:rPr>
                <w:rFonts w:hint="default" w:ascii="Times New Roman" w:hAnsi="Times New Roman" w:eastAsia="宋体" w:cs="Times New Roman"/>
                <w:color w:val="auto"/>
                <w:kern w:val="2"/>
                <w:sz w:val="21"/>
                <w:szCs w:val="21"/>
                <w:lang w:val="en-US" w:eastAsia="zh-CN"/>
              </w:rPr>
              <w:t>2</w:t>
            </w:r>
          </w:p>
        </w:tc>
        <w:tc>
          <w:tcPr>
            <w:tcW w:w="2965" w:type="dxa"/>
            <w:vAlign w:val="center"/>
          </w:tcPr>
          <w:p>
            <w:pPr>
              <w:widowControl/>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eastAsia="zh-CN"/>
              </w:rPr>
              <w:t>沙子</w:t>
            </w:r>
          </w:p>
        </w:tc>
        <w:tc>
          <w:tcPr>
            <w:tcW w:w="1701"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t/a</w:t>
            </w:r>
          </w:p>
        </w:tc>
        <w:tc>
          <w:tcPr>
            <w:tcW w:w="1543"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3600</w:t>
            </w:r>
          </w:p>
        </w:tc>
        <w:tc>
          <w:tcPr>
            <w:tcW w:w="1529"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u w:val="none" w:color="000000"/>
                <w:lang w:val="en-US" w:eastAsia="zh-CN" w:bidi="ar-SA"/>
              </w:rPr>
            </w:pPr>
            <w:r>
              <w:rPr>
                <w:rFonts w:hint="default" w:ascii="Times New Roman" w:hAnsi="Times New Roman" w:eastAsia="宋体" w:cs="Times New Roman"/>
                <w:color w:val="auto"/>
                <w:kern w:val="2"/>
                <w:sz w:val="21"/>
                <w:szCs w:val="21"/>
                <w:lang w:val="en-US" w:eastAsia="zh-CN"/>
              </w:rPr>
              <w:t>3</w:t>
            </w:r>
          </w:p>
        </w:tc>
        <w:tc>
          <w:tcPr>
            <w:tcW w:w="2965" w:type="dxa"/>
            <w:vAlign w:val="center"/>
          </w:tcPr>
          <w:p>
            <w:pPr>
              <w:widowControl/>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eastAsia="zh-CN"/>
              </w:rPr>
              <w:t>石头</w:t>
            </w:r>
          </w:p>
        </w:tc>
        <w:tc>
          <w:tcPr>
            <w:tcW w:w="1701"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t/a</w:t>
            </w:r>
          </w:p>
        </w:tc>
        <w:tc>
          <w:tcPr>
            <w:tcW w:w="1543"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12000</w:t>
            </w:r>
          </w:p>
        </w:tc>
        <w:tc>
          <w:tcPr>
            <w:tcW w:w="1529"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4</w:t>
            </w:r>
          </w:p>
        </w:tc>
        <w:tc>
          <w:tcPr>
            <w:tcW w:w="2965" w:type="dxa"/>
            <w:vAlign w:val="center"/>
          </w:tcPr>
          <w:p>
            <w:pPr>
              <w:widowControl/>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eastAsia="zh-CN"/>
              </w:rPr>
              <w:t>新鲜水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43"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2472</w:t>
            </w:r>
          </w:p>
        </w:tc>
        <w:tc>
          <w:tcPr>
            <w:tcW w:w="1529"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5</w:t>
            </w:r>
          </w:p>
        </w:tc>
        <w:tc>
          <w:tcPr>
            <w:tcW w:w="2965" w:type="dxa"/>
            <w:vAlign w:val="center"/>
          </w:tcPr>
          <w:p>
            <w:pPr>
              <w:widowControl/>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eastAsia="zh-CN"/>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43"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10</w:t>
            </w:r>
          </w:p>
        </w:tc>
        <w:tc>
          <w:tcPr>
            <w:tcW w:w="1529" w:type="dxa"/>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10</w:t>
            </w:r>
          </w:p>
        </w:tc>
      </w:tr>
    </w:tbl>
    <w:p>
      <w:pPr>
        <w:pStyle w:val="7"/>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主要</w:t>
      </w:r>
      <w:r>
        <w:rPr>
          <w:rFonts w:hint="eastAsia" w:ascii="Times New Roman" w:hAnsi="Times New Roman" w:eastAsia="宋体" w:cs="Times New Roman"/>
          <w:b/>
          <w:bCs/>
          <w:sz w:val="24"/>
          <w:szCs w:val="24"/>
          <w:lang w:eastAsia="zh-CN"/>
        </w:rPr>
        <w:t>建设内容</w:t>
      </w:r>
      <w:r>
        <w:rPr>
          <w:rFonts w:hint="default" w:ascii="Times New Roman" w:hAnsi="Times New Roman" w:eastAsia="宋体" w:cs="Times New Roman"/>
          <w:b/>
          <w:bCs/>
          <w:sz w:val="24"/>
          <w:szCs w:val="24"/>
        </w:rPr>
        <w:t>一览表</w:t>
      </w:r>
    </w:p>
    <w:tbl>
      <w:tblPr>
        <w:tblStyle w:val="3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461"/>
        <w:gridCol w:w="1108"/>
        <w:gridCol w:w="4467"/>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类别</w:t>
            </w:r>
          </w:p>
        </w:tc>
        <w:tc>
          <w:tcPr>
            <w:tcW w:w="156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项目组成</w:t>
            </w:r>
          </w:p>
        </w:tc>
        <w:tc>
          <w:tcPr>
            <w:tcW w:w="44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项目内容</w:t>
            </w:r>
          </w:p>
        </w:tc>
        <w:tc>
          <w:tcPr>
            <w:tcW w:w="1748" w:type="dxa"/>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主体工程</w:t>
            </w:r>
          </w:p>
        </w:tc>
        <w:tc>
          <w:tcPr>
            <w:tcW w:w="1569" w:type="dxa"/>
            <w:gridSpan w:val="2"/>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生产车间</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位于厂区西侧，建筑面积120m</w:t>
            </w:r>
            <w:r>
              <w:rPr>
                <w:rFonts w:hint="default" w:ascii="Times New Roman" w:hAnsi="Times New Roman" w:eastAsia="宋体" w:cs="Times New Roman"/>
                <w:color w:val="auto"/>
                <w:kern w:val="0"/>
                <w:sz w:val="21"/>
                <w:szCs w:val="21"/>
                <w:highlight w:val="none"/>
                <w:vertAlign w:val="superscript"/>
              </w:rPr>
              <w:t>2</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辅助工程</w:t>
            </w:r>
          </w:p>
        </w:tc>
        <w:tc>
          <w:tcPr>
            <w:tcW w:w="1569" w:type="dxa"/>
            <w:gridSpan w:val="2"/>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储料库</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位于厂区西南侧，储料库全封闭，用于储存沙子、石头，建筑面积270m</w:t>
            </w:r>
            <w:r>
              <w:rPr>
                <w:rFonts w:hint="default" w:ascii="Times New Roman" w:hAnsi="Times New Roman" w:eastAsia="宋体" w:cs="Times New Roman"/>
                <w:kern w:val="0"/>
                <w:sz w:val="21"/>
                <w:szCs w:val="21"/>
                <w:vertAlign w:val="superscript"/>
              </w:rPr>
              <w:t>2</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lang w:eastAsia="zh-CN"/>
              </w:rPr>
            </w:pPr>
          </w:p>
        </w:tc>
        <w:tc>
          <w:tcPr>
            <w:tcW w:w="1569" w:type="dxa"/>
            <w:gridSpan w:val="2"/>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库房</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位于厂区西南侧，用于存放产品，建筑面积115m</w:t>
            </w:r>
            <w:r>
              <w:rPr>
                <w:rFonts w:hint="default" w:ascii="Times New Roman" w:hAnsi="Times New Roman" w:eastAsia="宋体" w:cs="Times New Roman"/>
                <w:kern w:val="0"/>
                <w:sz w:val="21"/>
                <w:szCs w:val="21"/>
                <w:vertAlign w:val="superscript"/>
              </w:rPr>
              <w:t>2</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lang w:eastAsia="zh-CN"/>
              </w:rPr>
            </w:pPr>
          </w:p>
        </w:tc>
        <w:tc>
          <w:tcPr>
            <w:tcW w:w="1569" w:type="dxa"/>
            <w:gridSpan w:val="2"/>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办公室</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位于厂区西南角，建筑面积75m</w:t>
            </w:r>
            <w:r>
              <w:rPr>
                <w:rFonts w:hint="default" w:ascii="Times New Roman" w:hAnsi="Times New Roman" w:eastAsia="宋体" w:cs="Times New Roman"/>
                <w:kern w:val="0"/>
                <w:sz w:val="21"/>
                <w:szCs w:val="21"/>
                <w:vertAlign w:val="superscript"/>
              </w:rPr>
              <w:t>2</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6" w:type="dxa"/>
            <w:vMerge w:val="restart"/>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公用工程</w:t>
            </w:r>
          </w:p>
        </w:tc>
        <w:tc>
          <w:tcPr>
            <w:tcW w:w="1569" w:type="dxa"/>
            <w:gridSpan w:val="2"/>
            <w:noWrap w:val="0"/>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供水</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由北石槽乡满堂村供水管网供给，年用水量2472</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6" w:type="dxa"/>
            <w:vMerge w:val="continue"/>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rPr>
            </w:pPr>
          </w:p>
        </w:tc>
        <w:tc>
          <w:tcPr>
            <w:tcW w:w="1569" w:type="dxa"/>
            <w:gridSpan w:val="2"/>
            <w:noWrap w:val="0"/>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供电</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由北石槽乡</w:t>
            </w:r>
            <w:r>
              <w:rPr>
                <w:rFonts w:hint="default" w:ascii="Times New Roman" w:hAnsi="Times New Roman" w:eastAsia="宋体" w:cs="Times New Roman"/>
                <w:sz w:val="21"/>
                <w:szCs w:val="21"/>
              </w:rPr>
              <w:t>供电系统供给，年用电量10万kWh</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36" w:type="dxa"/>
            <w:vMerge w:val="continue"/>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rPr>
            </w:pPr>
          </w:p>
        </w:tc>
        <w:tc>
          <w:tcPr>
            <w:tcW w:w="1569" w:type="dxa"/>
            <w:gridSpan w:val="2"/>
            <w:noWrap w:val="0"/>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供暖</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项目办公室冬季采用空调取暖，生产无需用热</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736" w:type="dxa"/>
            <w:vMerge w:val="restart"/>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rPr>
              <w:t>工程</w:t>
            </w:r>
          </w:p>
        </w:tc>
        <w:tc>
          <w:tcPr>
            <w:tcW w:w="1569" w:type="dxa"/>
            <w:gridSpan w:val="2"/>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废气</w:t>
            </w:r>
          </w:p>
        </w:tc>
        <w:tc>
          <w:tcPr>
            <w:tcW w:w="4467" w:type="dxa"/>
            <w:noWrap w:val="0"/>
            <w:vAlign w:val="center"/>
          </w:tcPr>
          <w:p>
            <w:pPr>
              <w:keepNext w:val="0"/>
              <w:keepLines w:val="0"/>
              <w:pageBreakBefore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水泥筒仓：水泥筒仓顶部设袋式除尘器，废气经除尘器处理后，经筒仓顶部排气筒排放，筒仓高度为10m，废气排气筒排放高度为15m；</w:t>
            </w:r>
          </w:p>
          <w:p>
            <w:pPr>
              <w:pStyle w:val="33"/>
              <w:keepNext w:val="0"/>
              <w:keepLines w:val="0"/>
              <w:pageBreakBefore w:val="0"/>
              <w:kinsoku/>
              <w:wordWrap/>
              <w:overflowPunct/>
              <w:topLinePunct w:val="0"/>
              <w:autoSpaceDE/>
              <w:autoSpaceDN/>
              <w:bidi w:val="0"/>
              <w:snapToGrid w:val="0"/>
              <w:spacing w:after="0" w:line="24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上料、配料和搅拌工序：全封闭，混凝土实心砖生产线配套设置1套布袋除尘器，废气经布袋除尘器处理后，由1根15 m高排气筒排放；</w:t>
            </w:r>
          </w:p>
          <w:p>
            <w:pPr>
              <w:keepNext w:val="0"/>
              <w:keepLines w:val="0"/>
              <w:pageBreakBefore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无组织粉尘：设置封闭的储料库，石头、沙子储存、装卸、入料等过程均在储料库内进行，定期洒水抑尘。</w:t>
            </w:r>
          </w:p>
        </w:tc>
        <w:tc>
          <w:tcPr>
            <w:tcW w:w="1748" w:type="dxa"/>
            <w:noWrap w:val="0"/>
            <w:vAlign w:val="center"/>
          </w:tcPr>
          <w:p>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736" w:type="dxa"/>
            <w:vMerge w:val="continue"/>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rPr>
            </w:pPr>
          </w:p>
        </w:tc>
        <w:tc>
          <w:tcPr>
            <w:tcW w:w="1569" w:type="dxa"/>
            <w:gridSpan w:val="2"/>
            <w:noWrap w:val="0"/>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废水</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无生产废水产生，职工生活污水产生量小，水质简单用于厂内泼洒抑尘，厂内设防渗旱厕，定期清掏用作农肥，不外排</w:t>
            </w:r>
          </w:p>
        </w:tc>
        <w:tc>
          <w:tcPr>
            <w:tcW w:w="1748" w:type="dxa"/>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36" w:type="dxa"/>
            <w:vMerge w:val="continue"/>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rPr>
            </w:pPr>
          </w:p>
        </w:tc>
        <w:tc>
          <w:tcPr>
            <w:tcW w:w="1569" w:type="dxa"/>
            <w:gridSpan w:val="2"/>
            <w:noWrap w:val="0"/>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噪声</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采取选用低噪声设备、基础减振、厂房隔声等措施</w:t>
            </w:r>
          </w:p>
        </w:tc>
        <w:tc>
          <w:tcPr>
            <w:tcW w:w="1748" w:type="dxa"/>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36" w:type="dxa"/>
            <w:vMerge w:val="continue"/>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rPr>
            </w:pPr>
          </w:p>
        </w:tc>
        <w:tc>
          <w:tcPr>
            <w:tcW w:w="4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highlight w:val="none"/>
              </w:rPr>
              <w:t>固废</w:t>
            </w:r>
          </w:p>
        </w:tc>
        <w:tc>
          <w:tcPr>
            <w:tcW w:w="1108" w:type="dxa"/>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除尘灰</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集中收集后，回收再利用</w:t>
            </w:r>
          </w:p>
        </w:tc>
        <w:tc>
          <w:tcPr>
            <w:tcW w:w="1748" w:type="dxa"/>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36" w:type="dxa"/>
            <w:vMerge w:val="continue"/>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000000"/>
                <w:sz w:val="21"/>
                <w:szCs w:val="21"/>
              </w:rPr>
            </w:pPr>
          </w:p>
        </w:tc>
        <w:tc>
          <w:tcPr>
            <w:tcW w:w="4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kern w:val="0"/>
                <w:sz w:val="21"/>
                <w:szCs w:val="21"/>
                <w:highlight w:val="none"/>
              </w:rPr>
            </w:pPr>
          </w:p>
        </w:tc>
        <w:tc>
          <w:tcPr>
            <w:tcW w:w="1108" w:type="dxa"/>
            <w:noWrap w:val="0"/>
            <w:vAlign w:val="center"/>
          </w:tcPr>
          <w:p>
            <w:pPr>
              <w:keepNext w:val="0"/>
              <w:keepLines w:val="0"/>
              <w:pageBreakBefore w:val="0"/>
              <w:widowControl/>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不合格品</w:t>
            </w:r>
          </w:p>
        </w:tc>
        <w:tc>
          <w:tcPr>
            <w:tcW w:w="4467" w:type="dxa"/>
            <w:noWrap w:val="0"/>
            <w:vAlign w:val="center"/>
          </w:tcPr>
          <w:p>
            <w:pPr>
              <w:keepNext w:val="0"/>
              <w:keepLines w:val="0"/>
              <w:pageBreakBefore w:val="0"/>
              <w:widowControl/>
              <w:kinsoku/>
              <w:wordWrap/>
              <w:overflowPunct/>
              <w:topLinePunct w:val="0"/>
              <w:autoSpaceDE/>
              <w:autoSpaceDN/>
              <w:bidi w:val="0"/>
              <w:snapToGrid w:val="0"/>
              <w:spacing w:line="240" w:lineRule="exact"/>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集中收集，由环卫部门统一处理</w:t>
            </w:r>
          </w:p>
        </w:tc>
        <w:tc>
          <w:tcPr>
            <w:tcW w:w="1748" w:type="dxa"/>
            <w:noWrap w:val="0"/>
            <w:vAlign w:val="center"/>
          </w:tcPr>
          <w:p>
            <w:pPr>
              <w:pStyle w:val="127"/>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4"/>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763"/>
        <w:gridCol w:w="2253"/>
        <w:gridCol w:w="778"/>
        <w:gridCol w:w="909"/>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763"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253"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778"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lang w:eastAsia="zh-CN"/>
              </w:rPr>
              <w:t>单位</w:t>
            </w:r>
          </w:p>
        </w:tc>
        <w:tc>
          <w:tcPr>
            <w:tcW w:w="909"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763" w:type="dxa"/>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电动叉车</w:t>
            </w:r>
          </w:p>
        </w:tc>
        <w:tc>
          <w:tcPr>
            <w:tcW w:w="2253" w:type="dxa"/>
            <w:vAlign w:val="top"/>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778"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lang w:bidi="ar"/>
              </w:rPr>
              <w:t>台</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763" w:type="dxa"/>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铲车</w:t>
            </w:r>
          </w:p>
        </w:tc>
        <w:tc>
          <w:tcPr>
            <w:tcW w:w="2253" w:type="dxa"/>
            <w:vAlign w:val="top"/>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18</w:t>
            </w:r>
          </w:p>
        </w:tc>
        <w:tc>
          <w:tcPr>
            <w:tcW w:w="778"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lang w:bidi="ar"/>
              </w:rPr>
              <w:t>台</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76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混凝土实心砖生产线</w:t>
            </w:r>
          </w:p>
        </w:tc>
        <w:tc>
          <w:tcPr>
            <w:tcW w:w="2253" w:type="dxa"/>
            <w:vAlign w:val="top"/>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778" w:type="dxa"/>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Cs w:val="21"/>
                <w:lang w:bidi="ar"/>
              </w:rPr>
              <w:t>条</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763" w:type="dxa"/>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配料机</w:t>
            </w:r>
          </w:p>
        </w:tc>
        <w:tc>
          <w:tcPr>
            <w:tcW w:w="2253"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80</w:t>
            </w:r>
          </w:p>
        </w:tc>
        <w:tc>
          <w:tcPr>
            <w:tcW w:w="778"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lang w:bidi="ar"/>
              </w:rPr>
              <w:t>台</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w:t>
            </w:r>
          </w:p>
        </w:tc>
        <w:tc>
          <w:tcPr>
            <w:tcW w:w="2763" w:type="dxa"/>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搅拌机</w:t>
            </w:r>
          </w:p>
        </w:tc>
        <w:tc>
          <w:tcPr>
            <w:tcW w:w="2253"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500</w:t>
            </w:r>
          </w:p>
        </w:tc>
        <w:tc>
          <w:tcPr>
            <w:tcW w:w="778" w:type="dxa"/>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Cs w:val="21"/>
                <w:lang w:bidi="ar"/>
              </w:rPr>
              <w:t>台</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w:t>
            </w:r>
          </w:p>
        </w:tc>
        <w:tc>
          <w:tcPr>
            <w:tcW w:w="2763" w:type="dxa"/>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输送机</w:t>
            </w:r>
          </w:p>
        </w:tc>
        <w:tc>
          <w:tcPr>
            <w:tcW w:w="225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7m</w:t>
            </w:r>
          </w:p>
        </w:tc>
        <w:tc>
          <w:tcPr>
            <w:tcW w:w="778"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lang w:bidi="ar"/>
              </w:rPr>
              <w:t>台</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7</w:t>
            </w:r>
          </w:p>
        </w:tc>
        <w:tc>
          <w:tcPr>
            <w:tcW w:w="2763" w:type="dxa"/>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全自动成型机</w:t>
            </w:r>
          </w:p>
        </w:tc>
        <w:tc>
          <w:tcPr>
            <w:tcW w:w="2253"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5-20型</w:t>
            </w:r>
          </w:p>
        </w:tc>
        <w:tc>
          <w:tcPr>
            <w:tcW w:w="778"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lang w:bidi="ar"/>
              </w:rPr>
              <w:t>台</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8</w:t>
            </w:r>
          </w:p>
        </w:tc>
        <w:tc>
          <w:tcPr>
            <w:tcW w:w="2763" w:type="dxa"/>
            <w:vAlign w:val="center"/>
          </w:tcPr>
          <w:p>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水泥筒仓</w:t>
            </w:r>
          </w:p>
        </w:tc>
        <w:tc>
          <w:tcPr>
            <w:tcW w:w="2253" w:type="dxa"/>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50吨</w:t>
            </w:r>
          </w:p>
        </w:tc>
        <w:tc>
          <w:tcPr>
            <w:tcW w:w="778" w:type="dxa"/>
            <w:vAlign w:val="center"/>
          </w:tcPr>
          <w:p>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Cs w:val="21"/>
                <w:lang w:bidi="ar"/>
              </w:rPr>
              <w:t>台</w:t>
            </w:r>
          </w:p>
        </w:tc>
        <w:tc>
          <w:tcPr>
            <w:tcW w:w="9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c>
          <w:tcPr>
            <w:tcW w:w="1087"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r>
    </w:tbl>
    <w:p>
      <w:pPr>
        <w:pStyle w:val="6"/>
        <w:rPr>
          <w:rFonts w:hint="default" w:ascii="Times New Roman" w:hAnsi="Times New Roman" w:cs="Times New Roman"/>
          <w:color w:val="000000"/>
        </w:rPr>
      </w:pPr>
      <w:bookmarkStart w:id="24" w:name="_Toc504325332"/>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1503938560" behindDoc="0" locked="0" layoutInCell="1" allowOverlap="1">
            <wp:simplePos x="0" y="0"/>
            <wp:positionH relativeFrom="column">
              <wp:posOffset>19685</wp:posOffset>
            </wp:positionH>
            <wp:positionV relativeFrom="paragraph">
              <wp:posOffset>121285</wp:posOffset>
            </wp:positionV>
            <wp:extent cx="5670550" cy="2024380"/>
            <wp:effectExtent l="0" t="0" r="6350" b="1397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670550" cy="202438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ascii="Times New Roman" w:hAnsi="Times New Roman" w:cs="Times New Roman"/>
          <w:sz w:val="24"/>
          <w:szCs w:val="24"/>
          <w:lang w:eastAsia="zh-CN"/>
        </w:rPr>
      </w:pPr>
    </w:p>
    <w:p>
      <w:pPr>
        <w:pStyle w:val="2"/>
        <w:rPr>
          <w:rFonts w:hint="eastAsia" w:ascii="Times New Roman" w:hAnsi="Times New Roman" w:cs="Times New Roman"/>
          <w:sz w:val="24"/>
          <w:szCs w:val="24"/>
          <w:lang w:eastAsia="zh-CN"/>
        </w:rPr>
      </w:pPr>
    </w:p>
    <w:p>
      <w:pPr>
        <w:pStyle w:val="2"/>
        <w:rPr>
          <w:rFonts w:hint="eastAsia" w:ascii="Times New Roman" w:hAnsi="Times New Roman" w:cs="Times New Roman"/>
          <w:sz w:val="24"/>
          <w:szCs w:val="24"/>
          <w:lang w:eastAsia="zh-CN"/>
        </w:rPr>
      </w:pPr>
    </w:p>
    <w:p>
      <w:pPr>
        <w:pStyle w:val="2"/>
        <w:rPr>
          <w:rFonts w:hint="eastAsia" w:ascii="Times New Roman" w:hAnsi="Times New Roman" w:cs="Times New Roman"/>
          <w:sz w:val="24"/>
          <w:szCs w:val="24"/>
          <w:lang w:eastAsia="zh-CN"/>
        </w:rPr>
      </w:pPr>
    </w:p>
    <w:p>
      <w:pPr>
        <w:pStyle w:val="2"/>
        <w:rPr>
          <w:rFonts w:hint="eastAsia" w:ascii="Times New Roman" w:hAnsi="Times New Roman" w:cs="Times New Roman"/>
          <w:sz w:val="24"/>
          <w:szCs w:val="24"/>
          <w:lang w:eastAsia="zh-CN"/>
        </w:rPr>
      </w:pPr>
    </w:p>
    <w:p>
      <w:pPr>
        <w:pStyle w:val="2"/>
        <w:rPr>
          <w:rFonts w:hint="eastAsia" w:ascii="Times New Roman" w:hAnsi="Times New Roman" w:cs="Times New Roman"/>
          <w:sz w:val="24"/>
          <w:szCs w:val="24"/>
          <w:lang w:eastAsia="zh-CN"/>
        </w:rPr>
      </w:pPr>
    </w:p>
    <w:p>
      <w:pPr>
        <w:pStyle w:val="2"/>
        <w:rPr>
          <w:rFonts w:hint="eastAsia" w:ascii="Times New Roman" w:hAnsi="Times New Roman" w:cs="Times New Roman"/>
          <w:sz w:val="24"/>
          <w:szCs w:val="24"/>
          <w:lang w:eastAsia="zh-CN"/>
        </w:rPr>
      </w:pPr>
    </w:p>
    <w:p>
      <w:pPr>
        <w:pStyle w:val="2"/>
        <w:rPr>
          <w:rFonts w:hint="eastAsia" w:ascii="Times New Roman" w:hAnsi="Times New Roman" w:cs="Times New Roman"/>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（1）原材料</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所用原料为沙子、石头、水泥，均为外购，外购的沙子、石头、水泥由运输车运入厂区，进行检验合格后，其中沙子、石头存放于厂内储料库中，储料库密闭，水泥贮存于全封闭式水泥筒仓内，水泥筒仓顶设有呼吸口，呼吸口排出的粉尘经袋式除尘器处理后排放。厂内设储料库1座，水泥筒仓1个（水泥筒仓高度为10m，50吨）。</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（2）搅拌、压制、成型</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本项目建设全自动混凝土实心砖生产线1条，采用配料自动计量、全自动砌块成型设备、自动码卸坯、配料机、搅拌机，可完成从原材料至成品砖的全自动生产。</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具体生产工艺为生产时，原料水泥通过密闭筒仓设置的螺旋输送泵直接送至水泥料斗，全过程密闭；沙子、石头经输送带输送至各料斗，输送带采用全封闭式。生产中所用各原料按照比例计量后，通过传送带运至搅拌机（车间内）入料口，同时加水进行搅拌混合，搅拌完成后，物料经带式输送机输送进入砌块成型机进料口，然后进行砌块成型。</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（3）晾晒</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成型后的混凝土砖，进行自然晾干。</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（4）养护</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经晾晒后的成品，运入养护场地定期喷水进行自然养护。</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（5）成品</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养护后的成品，经检验合格后，即为成品。</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每天一班</w:t>
      </w:r>
      <w:r>
        <w:rPr>
          <w:rFonts w:hint="default" w:ascii="Times New Roman" w:hAnsi="Times New Roman" w:eastAsia="宋体" w:cs="Times New Roman"/>
          <w:sz w:val="24"/>
          <w:szCs w:val="24"/>
        </w:rPr>
        <w:t>，每班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496979011"/>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项目用水由北石槽乡满堂村供水管网供给</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排水：项目运营期不产生生产废水，废水主要为员工生活污水，排水水量少，水质简单，用于厂内泼洒抑尘，厂内设防渗旱厕，定期清掏用作农肥</w:t>
      </w:r>
      <w:r>
        <w:rPr>
          <w:rFonts w:hint="eastAsia" w:ascii="Times New Roman" w:hAnsi="Times New Roman" w:eastAsia="宋体" w:cs="Times New Roman"/>
          <w:sz w:val="24"/>
          <w:szCs w:val="24"/>
          <w:lang w:eastAsia="zh-CN"/>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6979012"/>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由北石槽乡供电系统供给。</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河北韵楷环境科技有限公司于2020年09月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2020年10月22日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河环表[2020]（10-22）号</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50万元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实际建设内容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4"/>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953"/>
        <w:gridCol w:w="955"/>
        <w:gridCol w:w="2037"/>
        <w:gridCol w:w="1321"/>
        <w:gridCol w:w="523"/>
        <w:gridCol w:w="1845"/>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05"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bookmarkStart w:id="38" w:name="_Toc504325342"/>
            <w:r>
              <w:rPr>
                <w:rFonts w:hint="default" w:ascii="Times New Roman" w:hAnsi="Times New Roman" w:eastAsia="宋体" w:cs="Times New Roman"/>
                <w:color w:val="000000" w:themeColor="text1"/>
                <w:sz w:val="21"/>
                <w:szCs w:val="21"/>
                <w14:textFill>
                  <w14:solidFill>
                    <w14:schemeClr w14:val="tx1"/>
                  </w14:solidFill>
                </w14:textFill>
              </w:rPr>
              <w:t>类</w:t>
            </w:r>
          </w:p>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别</w:t>
            </w:r>
          </w:p>
        </w:tc>
        <w:tc>
          <w:tcPr>
            <w:tcW w:w="953"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污染源</w:t>
            </w:r>
          </w:p>
        </w:tc>
        <w:tc>
          <w:tcPr>
            <w:tcW w:w="955"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tc>
        <w:tc>
          <w:tcPr>
            <w:tcW w:w="2037"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措施</w:t>
            </w:r>
          </w:p>
        </w:tc>
        <w:tc>
          <w:tcPr>
            <w:tcW w:w="1321"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验收指标</w:t>
            </w:r>
          </w:p>
        </w:tc>
        <w:tc>
          <w:tcPr>
            <w:tcW w:w="236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验收标准</w:t>
            </w:r>
          </w:p>
        </w:tc>
        <w:tc>
          <w:tcPr>
            <w:tcW w:w="1156" w:type="dxa"/>
            <w:tcBorders>
              <w:tl2br w:val="nil"/>
              <w:tr2bl w:val="nil"/>
            </w:tcBorders>
            <w:tcMar>
              <w:top w:w="0" w:type="dxa"/>
              <w:left w:w="51" w:type="dxa"/>
              <w:bottom w:w="0" w:type="dxa"/>
              <w:right w:w="51" w:type="dxa"/>
            </w:tcMar>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dxa"/>
            <w:vMerge w:val="restart"/>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水泥筒仓</w:t>
            </w:r>
          </w:p>
        </w:tc>
        <w:tc>
          <w:tcPr>
            <w:tcW w:w="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20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napToGrid w:val="0"/>
                <w:kern w:val="0"/>
                <w:sz w:val="21"/>
                <w:szCs w:val="21"/>
              </w:rPr>
              <w:t>废气经仓顶布袋除尘器（TA001）处理后，通过仓顶排气筒（DA001）排放，</w:t>
            </w:r>
            <w:r>
              <w:rPr>
                <w:rFonts w:hint="default" w:ascii="Times New Roman" w:hAnsi="Times New Roman" w:eastAsia="宋体" w:cs="Times New Roman"/>
                <w:sz w:val="21"/>
                <w:szCs w:val="21"/>
              </w:rPr>
              <w:t>筒仓高度为10m，排气筒15m</w:t>
            </w:r>
          </w:p>
        </w:tc>
        <w:tc>
          <w:tcPr>
            <w:tcW w:w="1321"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有组织颗粒物≤10.0mg/m</w:t>
            </w:r>
            <w:r>
              <w:rPr>
                <w:rFonts w:hint="default" w:ascii="Times New Roman" w:hAnsi="Times New Roman" w:eastAsia="宋体" w:cs="Times New Roman"/>
                <w:sz w:val="21"/>
                <w:szCs w:val="21"/>
                <w:vertAlign w:val="superscript"/>
              </w:rPr>
              <w:t>3</w:t>
            </w:r>
          </w:p>
        </w:tc>
        <w:tc>
          <w:tcPr>
            <w:tcW w:w="236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粉尘(颗粒物)执行《水泥工业大气污染物超低排放标准》（DB13/ 2167-2020）表1中散装水泥中转站及水泥制品生产排放标准要求</w:t>
            </w:r>
          </w:p>
        </w:tc>
        <w:tc>
          <w:tcPr>
            <w:tcW w:w="1156" w:type="dxa"/>
            <w:vMerge w:val="restart"/>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实际废气处理设施为1套</w:t>
            </w:r>
            <w:r>
              <w:rPr>
                <w:rFonts w:hint="eastAsia" w:cs="Times New Roman"/>
                <w:color w:val="000000" w:themeColor="text1"/>
                <w:sz w:val="21"/>
                <w:szCs w:val="21"/>
                <w:lang w:val="en-US" w:eastAsia="zh-CN"/>
                <w14:textFill>
                  <w14:solidFill>
                    <w14:schemeClr w14:val="tx1"/>
                  </w14:solidFill>
                </w14:textFill>
              </w:rPr>
              <w:t>布袋除尘器+15m高排气筒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405" w:type="dxa"/>
            <w:vMerge w:val="continue"/>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上料、配料、搅拌工序</w:t>
            </w:r>
          </w:p>
        </w:tc>
        <w:tc>
          <w:tcPr>
            <w:tcW w:w="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20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上料、配料、搅拌工序全封闭，废气经布袋除尘器（TA002）处理后，由1根15 m高排气筒（DA002）排放</w:t>
            </w:r>
          </w:p>
        </w:tc>
        <w:tc>
          <w:tcPr>
            <w:tcW w:w="1321"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有组织颗粒物≤10.0mg/m</w:t>
            </w:r>
            <w:r>
              <w:rPr>
                <w:rFonts w:hint="default" w:ascii="Times New Roman" w:hAnsi="Times New Roman" w:eastAsia="宋体" w:cs="Times New Roman"/>
                <w:sz w:val="21"/>
                <w:szCs w:val="21"/>
                <w:vertAlign w:val="superscript"/>
              </w:rPr>
              <w:t>3</w:t>
            </w:r>
          </w:p>
        </w:tc>
        <w:tc>
          <w:tcPr>
            <w:tcW w:w="236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粉尘(颗粒物)执行《水泥工业大气污染物超低排放标准》（DB13/ 2167-2020）表1中散装水泥中转站及水泥制品生产排放标准要求</w:t>
            </w:r>
          </w:p>
        </w:tc>
        <w:tc>
          <w:tcPr>
            <w:tcW w:w="1156" w:type="dxa"/>
            <w:vMerge w:val="continue"/>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405"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储料库</w:t>
            </w:r>
          </w:p>
        </w:tc>
        <w:tc>
          <w:tcPr>
            <w:tcW w:w="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20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全封闭储料库</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定期洒水抑尘</w:t>
            </w:r>
          </w:p>
        </w:tc>
        <w:tc>
          <w:tcPr>
            <w:tcW w:w="1321"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监控点与参照点总悬浮颗粒物（TSP）1h浓度值的差值≤0.5mg/m</w:t>
            </w:r>
            <w:r>
              <w:rPr>
                <w:rFonts w:hint="default" w:ascii="Times New Roman" w:hAnsi="Times New Roman" w:eastAsia="宋体" w:cs="Times New Roman"/>
                <w:sz w:val="21"/>
                <w:szCs w:val="21"/>
                <w:vertAlign w:val="superscript"/>
              </w:rPr>
              <w:t>3</w:t>
            </w:r>
          </w:p>
        </w:tc>
        <w:tc>
          <w:tcPr>
            <w:tcW w:w="236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《水泥工业大气污染物超低排放标准》（DB13/ 2167-2020）表2标准中颗粒物无组织排放浓度限值要求</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05"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w:t>
            </w:r>
          </w:p>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w:t>
            </w:r>
          </w:p>
        </w:tc>
        <w:tc>
          <w:tcPr>
            <w:tcW w:w="190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设备噪声</w:t>
            </w:r>
          </w:p>
        </w:tc>
        <w:tc>
          <w:tcPr>
            <w:tcW w:w="2037"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厂房隔声、基础减震，加强管理和绿化</w:t>
            </w:r>
          </w:p>
        </w:tc>
        <w:tc>
          <w:tcPr>
            <w:tcW w:w="1321"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南、西、北侧厂界昼间：≤60dB（A）；夜间：≤50dB（A）；东侧厂界昼间：≤70dB（A）；夜间：≤55dB（A）</w:t>
            </w:r>
          </w:p>
        </w:tc>
        <w:tc>
          <w:tcPr>
            <w:tcW w:w="236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南、西、北侧厂界满足《工业企业厂界环境噪声排放标准》（GB 12348-2008）2类标准；东侧厂界满足《工业企业厂界环境噪声排放标准》（GB 12348-2008）4类标准</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05"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190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生活污水</w:t>
            </w:r>
          </w:p>
        </w:tc>
        <w:tc>
          <w:tcPr>
            <w:tcW w:w="2037"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厂内泼洒抑尘，厂内设防渗旱厕，定期清掏用作农肥</w:t>
            </w:r>
          </w:p>
        </w:tc>
        <w:tc>
          <w:tcPr>
            <w:tcW w:w="3689" w:type="dxa"/>
            <w:gridSpan w:val="3"/>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不外排</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05" w:type="dxa"/>
            <w:vMerge w:val="restart"/>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c>
          <w:tcPr>
            <w:tcW w:w="190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生产过程</w:t>
            </w:r>
          </w:p>
        </w:tc>
        <w:tc>
          <w:tcPr>
            <w:tcW w:w="2037"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不合格产品</w:t>
            </w:r>
          </w:p>
        </w:tc>
        <w:tc>
          <w:tcPr>
            <w:tcW w:w="1844"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收集后交由环卫部门统一处理</w:t>
            </w:r>
          </w:p>
        </w:tc>
        <w:tc>
          <w:tcPr>
            <w:tcW w:w="1845" w:type="dxa"/>
            <w:vMerge w:val="restart"/>
            <w:tcBorders>
              <w:tl2br w:val="nil"/>
              <w:tr2bl w:val="nil"/>
            </w:tcBorders>
            <w:tcMar>
              <w:top w:w="0" w:type="dxa"/>
              <w:left w:w="51" w:type="dxa"/>
              <w:bottom w:w="0" w:type="dxa"/>
              <w:right w:w="51" w:type="dxa"/>
            </w:tcMar>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rPr>
              <w:t>《一般工业固体废物贮存、处置场污染控制标准》（GB18599-2001）及修改单相关要求</w:t>
            </w:r>
          </w:p>
        </w:tc>
        <w:tc>
          <w:tcPr>
            <w:tcW w:w="115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05" w:type="dxa"/>
            <w:vMerge w:val="continue"/>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08"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环保过程</w:t>
            </w:r>
          </w:p>
        </w:tc>
        <w:tc>
          <w:tcPr>
            <w:tcW w:w="2037" w:type="dxa"/>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除尘灰</w:t>
            </w:r>
          </w:p>
        </w:tc>
        <w:tc>
          <w:tcPr>
            <w:tcW w:w="1844" w:type="dxa"/>
            <w:gridSpan w:val="2"/>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收集后回用于生产</w:t>
            </w:r>
          </w:p>
        </w:tc>
        <w:tc>
          <w:tcPr>
            <w:tcW w:w="1845" w:type="dxa"/>
            <w:vMerge w:val="continue"/>
            <w:tcBorders>
              <w:tl2br w:val="nil"/>
              <w:tr2bl w:val="nil"/>
            </w:tcBorders>
            <w:vAlign w:val="center"/>
          </w:tcPr>
          <w:p>
            <w:pPr>
              <w:pStyle w:val="133"/>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rPr>
          <w:rFonts w:hint="default" w:ascii="Times New Roman" w:hAnsi="Times New Roman" w:cs="Times New Roman"/>
        </w:rPr>
      </w:pPr>
      <w:r>
        <w:rPr>
          <w:rFonts w:hint="default" w:ascii="Times New Roman" w:hAnsi="Times New Roman" w:cs="Times New Roman"/>
        </w:rPr>
        <w:br w:type="page"/>
      </w:r>
    </w:p>
    <w:p>
      <w:pPr>
        <w:pStyle w:val="6"/>
        <w:keepNext w:val="0"/>
        <w:keepLines w:val="0"/>
        <w:pageBreakBefore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2.10 验收范围及内容</w:t>
      </w:r>
      <w:bookmarkEnd w:id="38"/>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河间市北石槽乡满堂村</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运营期不产生生产废水，废水主要为员工生活污水，排水水量少，水质简单，用于厂内泼洒抑尘，厂内设防渗旱厕，定期清掏用作农肥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②废气──工程废气主要为水泥筒仓产生的呼吸废气、上料、配料和搅拌过程产生的废气，废气经布袋除尘器处理后，经1根15m排气筒排放，未被收集的废气以无组织形式排放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6"/>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cs="Times New Roman"/>
        </w:rPr>
      </w:pPr>
      <w:bookmarkStart w:id="42" w:name="_Toc497001461"/>
      <w:bookmarkStart w:id="43" w:name="_Toc496979024"/>
      <w:bookmarkStart w:id="44" w:name="_Toc504325346"/>
      <w:r>
        <w:rPr>
          <w:rFonts w:hint="default" w:ascii="Times New Roman" w:hAnsi="Times New Roman" w:cs="Times New Roman"/>
        </w:rPr>
        <w:t>3.2.1废水</w:t>
      </w:r>
      <w:bookmarkEnd w:id="42"/>
      <w:bookmarkEnd w:id="43"/>
      <w:bookmarkEnd w:id="44"/>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项目运营期不产生生产废水，废水主要为员工生活污水，排水水量少，水质简单，用于厂内泼洒抑尘，厂内设防渗旱厕，定期清掏用作农肥</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cs="Times New Roman"/>
        </w:rPr>
      </w:pPr>
      <w:bookmarkStart w:id="45" w:name="_Toc496979025"/>
      <w:bookmarkStart w:id="46" w:name="_Toc504325347"/>
      <w:bookmarkStart w:id="47" w:name="_Toc497001462"/>
      <w:r>
        <w:rPr>
          <w:rFonts w:hint="default" w:ascii="Times New Roman" w:hAnsi="Times New Roman" w:cs="Times New Roman"/>
        </w:rPr>
        <w:t>3.2.2废气</w:t>
      </w:r>
      <w:bookmarkEnd w:id="45"/>
      <w:bookmarkEnd w:id="46"/>
      <w:bookmarkEnd w:id="47"/>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eastAsia="宋体" w:cs="Times New Roman"/>
          <w:spacing w:val="0"/>
          <w:kern w:val="2"/>
          <w:sz w:val="24"/>
          <w:szCs w:val="24"/>
          <w:lang w:val="en-US" w:eastAsia="zh-CN" w:bidi="ar-SA"/>
        </w:rPr>
        <w:t>项目废气主要为水泥筒仓产生的呼吸废气、上料、配料和搅拌过程产生的废气，废气经布袋除尘器处理后，经1根15m高排气筒排放，未被收集的废气以无组织形式排放</w:t>
      </w:r>
      <w:r>
        <w:rPr>
          <w:rFonts w:hint="default" w:ascii="Times New Roman" w:hAnsi="Times New Roman" w:eastAsia="宋体" w:cs="Times New Roman"/>
          <w:spacing w:val="0"/>
          <w:kern w:val="2"/>
          <w:sz w:val="24"/>
          <w:szCs w:val="24"/>
          <w:lang w:val="en-US" w:eastAsia="zh-CN" w:bidi="ar-SA"/>
        </w:rPr>
        <w:t>。</w:t>
      </w:r>
    </w:p>
    <w:p>
      <w:pPr>
        <w:pStyle w:val="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cs="Times New Roman"/>
        </w:rPr>
      </w:pPr>
      <w:bookmarkStart w:id="48" w:name="_Toc497001463"/>
      <w:bookmarkStart w:id="49" w:name="_Toc504325348"/>
      <w:bookmarkStart w:id="50" w:name="_Toc496979026"/>
      <w:r>
        <w:rPr>
          <w:rFonts w:hint="default" w:ascii="Times New Roman" w:hAnsi="Times New Roman" w:cs="Times New Roman"/>
        </w:rPr>
        <w:t>3.2.3噪声</w:t>
      </w:r>
      <w:bookmarkEnd w:id="48"/>
      <w:bookmarkEnd w:id="49"/>
      <w:bookmarkEnd w:id="50"/>
    </w:p>
    <w:p>
      <w:pPr>
        <w:pStyle w:val="61"/>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eastAsia="zh-CN"/>
        </w:rPr>
        <w:t>项目主要噪声源为配料机、搅拌机、成型机等运转产生的噪声，对产噪设备优先选用低噪设备，安装减振垫、设置减震基础，且产噪设备均置于厂房内，经厂房屏蔽并安装隔音门窗，生产设备合理布局，并经距离衰减后，排入周边环境</w:t>
      </w:r>
      <w:r>
        <w:rPr>
          <w:rFonts w:hint="default" w:ascii="Times New Roman" w:hAnsi="Times New Roman" w:eastAsia="宋体" w:cs="Times New Roman"/>
          <w:spacing w:val="0"/>
          <w:sz w:val="24"/>
          <w:szCs w:val="24"/>
        </w:rPr>
        <w:t>。</w:t>
      </w:r>
    </w:p>
    <w:p>
      <w:pPr>
        <w:pStyle w:val="7"/>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cs="Times New Roman"/>
        </w:rPr>
      </w:pPr>
      <w:bookmarkStart w:id="52" w:name="_Toc504325349"/>
      <w:bookmarkStart w:id="53" w:name="_Toc497001464"/>
      <w:r>
        <w:rPr>
          <w:rFonts w:hint="default" w:ascii="Times New Roman" w:hAnsi="Times New Roman" w:cs="Times New Roman"/>
        </w:rPr>
        <w:t>3.2.4固体废物</w:t>
      </w:r>
      <w:bookmarkEnd w:id="51"/>
      <w:bookmarkEnd w:id="52"/>
      <w:bookmarkEnd w:id="53"/>
    </w:p>
    <w:p>
      <w:pPr>
        <w:pStyle w:val="87"/>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spacing w:val="0"/>
          <w:kern w:val="2"/>
          <w:sz w:val="24"/>
          <w:szCs w:val="24"/>
          <w:lang w:val="en-US" w:eastAsia="zh-CN" w:bidi="ar-SA"/>
        </w:rPr>
      </w:pPr>
      <w:bookmarkStart w:id="54" w:name="_Hlk496988018"/>
      <w:r>
        <w:rPr>
          <w:rFonts w:hint="eastAsia" w:ascii="Times New Roman" w:hAnsi="Times New Roman" w:cs="Times New Roman"/>
          <w:spacing w:val="0"/>
          <w:kern w:val="2"/>
          <w:sz w:val="24"/>
          <w:szCs w:val="24"/>
          <w:lang w:val="en-US" w:eastAsia="zh-CN" w:bidi="ar-SA"/>
        </w:rPr>
        <w:t>项目产生的固体废物主要为不合格产品、除尘灰。</w:t>
      </w:r>
    </w:p>
    <w:p>
      <w:pPr>
        <w:pStyle w:val="87"/>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spacing w:val="0"/>
          <w:kern w:val="2"/>
          <w:sz w:val="24"/>
          <w:szCs w:val="24"/>
          <w:lang w:val="en-US" w:eastAsia="zh-CN" w:bidi="ar-SA"/>
        </w:rPr>
      </w:pPr>
      <w:r>
        <w:rPr>
          <w:rFonts w:hint="eastAsia" w:ascii="Times New Roman" w:hAnsi="Times New Roman" w:cs="Times New Roman"/>
          <w:spacing w:val="0"/>
          <w:kern w:val="2"/>
          <w:sz w:val="24"/>
          <w:szCs w:val="24"/>
          <w:lang w:val="en-US" w:eastAsia="zh-CN" w:bidi="ar-SA"/>
        </w:rPr>
        <w:t>不合格产品：集中收集后，由环卫部门统一处理；</w:t>
      </w:r>
    </w:p>
    <w:p>
      <w:pPr>
        <w:pStyle w:val="87"/>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spacing w:val="0"/>
          <w:kern w:val="2"/>
          <w:sz w:val="24"/>
          <w:szCs w:val="24"/>
          <w:lang w:val="en-US" w:eastAsia="zh-CN" w:bidi="ar-SA"/>
        </w:rPr>
        <w:t>除尘灰：收集后回用于生产，不外排。</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r>
        <w:rPr>
          <w:rFonts w:hint="eastAsia" w:ascii="Times New Roman" w:hAnsi="Times New Roman" w:cs="Times New Roman"/>
          <w:sz w:val="24"/>
          <w:szCs w:val="24"/>
          <w:lang w:val="en-US" w:eastAsia="zh-CN"/>
        </w:rPr>
        <w:t>及建议</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bookmarkStart w:id="57" w:name="_Toc504325353"/>
      <w:bookmarkStart w:id="58" w:name="_Toc497001467"/>
      <w:bookmarkStart w:id="59" w:name="_Toc496979030"/>
      <w:r>
        <w:rPr>
          <w:rFonts w:hint="default" w:ascii="Times New Roman" w:hAnsi="Times New Roman" w:cs="Times New Roman"/>
        </w:rPr>
        <w:t>4.1.1</w:t>
      </w:r>
      <w:r>
        <w:rPr>
          <w:rFonts w:hint="default" w:ascii="Times New Roman" w:hAnsi="Times New Roman" w:eastAsia="宋体" w:cs="Times New Roman"/>
          <w:sz w:val="24"/>
          <w:szCs w:val="24"/>
        </w:rPr>
        <w:t>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60" w:name="_Toc497001468"/>
      <w:bookmarkStart w:id="61" w:name="_Toc496979031"/>
      <w:bookmarkStart w:id="62" w:name="_Toc504325354"/>
      <w:r>
        <w:rPr>
          <w:rFonts w:hint="default" w:ascii="Times New Roman" w:hAnsi="Times New Roman" w:eastAsia="宋体" w:cs="Times New Roman"/>
          <w:color w:val="000000" w:themeColor="text1"/>
          <w:sz w:val="24"/>
          <w:szCs w:val="24"/>
          <w:lang w:val="en-US" w:eastAsia="zh-CN"/>
          <w14:textFill>
            <w14:solidFill>
              <w14:schemeClr w14:val="tx1"/>
            </w14:solidFill>
          </w14:textFill>
        </w:rPr>
        <w:t>（1）大气环境影响分析结论</w:t>
      </w:r>
    </w:p>
    <w:p>
      <w:pPr>
        <w:keepNext w:val="0"/>
        <w:keepLines w:val="0"/>
        <w:pageBreakBefore w:val="0"/>
        <w:widowControl w:val="0"/>
        <w:kinsoku/>
        <w:wordWrap/>
        <w:overflowPunct/>
        <w:topLinePunct w:val="0"/>
        <w:autoSpaceDE/>
        <w:autoSpaceDN/>
        <w:bidi w:val="0"/>
        <w:snapToGrid w:val="0"/>
        <w:spacing w:line="360" w:lineRule="auto"/>
        <w:ind w:left="105" w:leftChars="50" w:right="105" w:rightChars="5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本项目废气主要为水泥筒仓产生的呼吸废气、上料、配料和搅拌过程产生的废气、沙子、石头装卸、储存过程产生的扬尘以及运输车辆动力起尘。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有组织：本项目水泥通过气力输送至水泥筒仓储存，本项目设有水泥筒仓1个，设置1套仓顶布袋除尘器（TA001），废气经除尘器处理后，经仓顶排气筒（DA001）排放，筒仓高度10m，废气排放高度15m，排气筒出口颗粒物排放浓度满足《水泥工业大气污染物超低排放标准》（DB13/ 2167-2020）表1中散装水泥中转站及水泥制品生产排放标准要求，即最高允许排放浓度为10 mg/m3。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本项目上料、配料和搅拌工序初期，由于原料尚未加水拌湿，会产生一定量的粉尘。原料上料，配料，搅拌设备实现全封闭，生产线配套设置1套布袋除尘器（TA002），废气经布袋除尘器处理后，由1根15 m高排气筒（DA002）排放，颗粒物排放满足《水泥工业大气污染物超低排放标准》（DB13/ 2167-2020）表1中散装水泥中转站及水泥制品生产排放标准要求，即最高允许排放浓度为10 mg/m3。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无组织：本项目储料库原料（沙子、石头）装卸、储存过程会产生一定量粉尘，本项目设置封闭的储料库，石头、沙子储存、装卸、入料等过程均在储料库内进行，储料库砂石原料堆存扬尘排放满足《水泥工业大气污染物超低排放标准》（DB13/ 2167-2020）表2颗粒物无组织排放浓度限值要求。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的主要运输工具是汽车，汽车在运输过程中产生扬尘，厂内道路地面硬化，水泥运输车辆采用密闭罐车，沙子、石头运输车辆车斗应用苫布覆盖。本项目厂区较宽阔，运输车辆产生的扬尘，经厂区内空气稀释和绿化带的吸附作用后，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综上，项目运营期产生的大气污染经采取相应治理措施后，能够实现达标排放，且排放量较小，对周围环境影响较小</w:t>
      </w:r>
      <w:r>
        <w:rPr>
          <w:rFonts w:hint="default" w:ascii="Times New Roman" w:hAnsi="Times New Roman" w:eastAsia="宋体" w:cs="Times New Roman"/>
          <w:color w:val="000000" w:themeColor="text1"/>
          <w:kern w:val="18"/>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spacing w:val="-6"/>
          <w:sz w:val="24"/>
        </w:rPr>
      </w:pPr>
      <w:r>
        <w:rPr>
          <w:rFonts w:hint="eastAsia" w:ascii="Times New Roman" w:hAnsi="Times New Roman" w:eastAsia="宋体" w:cs="Times New Roman"/>
          <w:spacing w:val="-6"/>
          <w:sz w:val="24"/>
          <w:lang w:eastAsia="zh-CN"/>
        </w:rPr>
        <w:t>（</w:t>
      </w:r>
      <w:r>
        <w:rPr>
          <w:rFonts w:hint="eastAsia" w:ascii="Times New Roman" w:hAnsi="Times New Roman" w:eastAsia="宋体" w:cs="Times New Roman"/>
          <w:spacing w:val="-6"/>
          <w:sz w:val="24"/>
          <w:lang w:val="en-US" w:eastAsia="zh-CN"/>
        </w:rPr>
        <w:t>2</w:t>
      </w:r>
      <w:r>
        <w:rPr>
          <w:rFonts w:hint="eastAsia" w:ascii="Times New Roman" w:hAnsi="Times New Roman" w:eastAsia="宋体" w:cs="Times New Roman"/>
          <w:spacing w:val="-6"/>
          <w:sz w:val="24"/>
          <w:lang w:eastAsia="zh-CN"/>
        </w:rPr>
        <w:t>）</w:t>
      </w:r>
      <w:r>
        <w:rPr>
          <w:rFonts w:hint="default" w:ascii="Times New Roman" w:hAnsi="Times New Roman" w:eastAsia="宋体" w:cs="Times New Roman"/>
          <w:spacing w:val="-6"/>
          <w:sz w:val="24"/>
        </w:rPr>
        <w:t>大气环境防护距离</w:t>
      </w:r>
    </w:p>
    <w:p>
      <w:pPr>
        <w:pStyle w:val="4"/>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 大气环境》（HJ2.2-2018）中的相关要求，本项目各污染物厂界浓度满足大气污染物厂界浓度限值，厂界外大气污染物短期贡献浓度不超过环境质量浓度限值的，因此不需设置大气环境防护距离。</w:t>
      </w:r>
    </w:p>
    <w:p>
      <w:pPr>
        <w:pStyle w:val="4"/>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highlight w:val="none"/>
        </w:rPr>
      </w:pPr>
      <w:r>
        <w:rPr>
          <w:rFonts w:hint="eastAsia"/>
          <w:color w:val="000000" w:themeColor="text1"/>
          <w:sz w:val="24"/>
          <w:szCs w:val="24"/>
          <w14:textFill>
            <w14:solidFill>
              <w14:schemeClr w14:val="tx1"/>
            </w14:solidFill>
          </w14:textFill>
        </w:rPr>
        <w:t>经计算确定本项目生产车间卫生防护距离为50m，项目距离周围最近环境敏感点为东侧43m处的满堂村，距离储料库60m，符合卫生防护距离的要求。今后在卫生防护距离范围内禁止建设集中居民住宅区、学校、医院等环境保护目标</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3</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水环境影响分析</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①地表水环境影响</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本项目运营期不产生生产废水，废水主要为员工生活污水，员工生活污水产生量为57.6m3/a，排水水量少，水质简单，用于厂内泼洒抑尘，厂内设防渗旱厕，定期清掏用作农肥。</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②地下水环境影响</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根据《环境影响评价技术导则地下水环境》（HJ610-2016）中附录A地下水环境影响评价行业分类表，本项目属于“64、砖瓦制造”，对应的地下水环境影响评价项目类别为“Ⅳ类”，可不开展地下水评价。</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为防止项目在生产过程中对地下水产生影响，采取以下防渗措施：</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厂区道路、储料库、养护大棚等地面先用三七灰土夯实后，然后构筑15mm厚的防渗混凝土作防渗处理，防渗系数不小于1.0×10-7 cm/s；</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防渗旱厕用15cm三合土铺底，再在上层用15～20cm的水泥混凝土浇底，四周壁用砖砌再用水泥硬化防渗，使渗透系数≤10-7cm/s。</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采取上述防渗工程后，可有效杜绝污水渗漏，防止对地下水产生污染影响。</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因此，项目不会对水环境产生影响。</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（4）声环境影响分析结论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主要噪声源为配料机、搅拌机、成型机等运转产生的噪声，噪声值一般在80-95dB(A)。通过选取低噪音设备，将产噪设备布置于车间内，增加基础减振、减震垫等措施进行降噪。通过采取以上措施及距离衰减后，南、西、北侧厂界噪声可满足《工业企业厂界环境噪声排放标准》（GB12348-2008）2类标准要求，东侧厂界噪声可满足《工业企业厂界环境噪声排放标准》（GB12348-2008）2类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rPr>
        <w:t>因此，本项目噪声对周围声环境影响较小。</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固体废物影响分析结论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项目产生的固体废物主要为不合格产品、除尘灰。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不合格产品：集中收集后，由环卫部门统一处理；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除尘灰：收集后回用于生产，不外排；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综上，项目产生的固体废物均得到有效的处理和综合利用，不外排，不会对周围环境造成影响。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（6）土壤环境影响分析结论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rPr>
        <w:t>根据《环境影响评价技术导则 土壤环境(试行)》（HJ 964-2018）规定，本项目属于Ⅳ类项目，因此可不开展土壤环境影响评价工作</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清洁生产分析结论</w:t>
      </w:r>
    </w:p>
    <w:p>
      <w:pPr>
        <w:pStyle w:val="134"/>
        <w:keepNext w:val="0"/>
        <w:keepLines w:val="0"/>
        <w:pageBreakBefore w:val="0"/>
        <w:widowControl w:val="0"/>
        <w:kinsoku/>
        <w:wordWrap/>
        <w:overflowPunct/>
        <w:topLinePunct w:val="0"/>
        <w:bidi w:val="0"/>
        <w:snapToGrid w:val="0"/>
        <w:ind w:firstLine="480"/>
        <w:textAlignment w:val="auto"/>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项目采用技术成熟的工艺及生产设备，原料为无毒、无味的原料沙子、石子、水泥，污染物产生少，经采取治理措施后均可稳定达标排放，资源得到充分利用，故本项目符合清洁生产要求</w:t>
      </w:r>
      <w:r>
        <w:rPr>
          <w:rFonts w:hint="eastAsia" w:ascii="Times New Roman" w:hAnsi="Times New Roman" w:eastAsia="宋体" w:cs="Times New Roman"/>
          <w:sz w:val="24"/>
          <w:szCs w:val="24"/>
          <w:highlight w:val="none"/>
          <w:lang w:eastAsia="zh-CN"/>
        </w:rPr>
        <w:t>。</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污染物排放总量控制结论</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本项目建成后，全厂建议总量控制指标为：COD：0t/a；氨氮：0t/a；SO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：0t/a；NOx：0t/a；颗粒物：0.504t/a。</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）项目实施前后环境质量变化情况</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项目各废气经采取有效的治理措施后均可稳定达标排放，经预测项目大气污染物非甲烷总烃经大气扩散后对周围大气环境影响较小，满足《环境空气质量标准 非甲烷总烃限值》（DB13/577-2012）二级标准。</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项目采取有效的降噪措施后各厂界噪声均达标，对周围声环境影响较小，项目西侧、北侧和南侧声环境现状质量符合《声环境质量标准》（GB3096-2008）2类标准，即昼间≤60 dB(A)，夜间≤50 dB(A)，东侧声环境现状质量符合《声环境质量标准》（GB3096-2008）4a类标准，即昼间≤70 dB(A)，夜间≤55 dB(A)。</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本项目生产过程无废水产生，生活污水主要为职工盥洗废水，厂内设防渗旱厕，定期清掏，不外排。根据各厂内分区采取不同的防渗措施。因此项目不会对区域水环境造成明显不利影响。</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项目产生的固体废物得到合理处理处置，不会对周围环境造成影响。</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）项目建设的可行性结论。</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①</w:t>
      </w:r>
      <w:r>
        <w:rPr>
          <w:rFonts w:hint="default" w:ascii="Times New Roman" w:hAnsi="Times New Roman" w:eastAsia="宋体" w:cs="Times New Roman"/>
          <w:sz w:val="24"/>
          <w:szCs w:val="24"/>
          <w:highlight w:val="none"/>
        </w:rPr>
        <w:t>根据《产业结构调整指导目录(2019年本)》，该项目不在淘汰和限制建设之列，属允许建设项目，项目建设符合国家产业政策，见附件6。本项目不属于《河北省新增限制和淘汰类产业目录（2015年版）》中的限制和淘汰类产业。</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②</w:t>
      </w:r>
      <w:r>
        <w:rPr>
          <w:rFonts w:hint="default" w:ascii="Times New Roman" w:hAnsi="Times New Roman" w:eastAsia="宋体" w:cs="Times New Roman"/>
          <w:sz w:val="24"/>
          <w:szCs w:val="24"/>
          <w:highlight w:val="none"/>
        </w:rPr>
        <w:t>项目所在地符合规划要求。</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③</w:t>
      </w:r>
      <w:r>
        <w:rPr>
          <w:rFonts w:hint="default" w:ascii="Times New Roman" w:hAnsi="Times New Roman" w:eastAsia="宋体" w:cs="Times New Roman"/>
          <w:sz w:val="24"/>
          <w:szCs w:val="24"/>
          <w:highlight w:val="none"/>
        </w:rPr>
        <w:t>本项目采用先进的生产工艺和技术，排污量少，对环境影响相对较轻，符合清洁生产要求。</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④</w:t>
      </w:r>
      <w:r>
        <w:rPr>
          <w:rFonts w:hint="default" w:ascii="Times New Roman" w:hAnsi="Times New Roman" w:eastAsia="宋体" w:cs="Times New Roman"/>
          <w:sz w:val="24"/>
          <w:szCs w:val="24"/>
          <w:highlight w:val="none"/>
        </w:rPr>
        <w:t>通过采取相应治理措施，该项目可实现污染物的达标排放。</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⑤</w:t>
      </w:r>
      <w:r>
        <w:rPr>
          <w:rFonts w:hint="default" w:ascii="Times New Roman" w:hAnsi="Times New Roman" w:eastAsia="宋体" w:cs="Times New Roman"/>
          <w:sz w:val="24"/>
          <w:szCs w:val="24"/>
          <w:highlight w:val="none"/>
        </w:rPr>
        <w:t>本项目污染物排放量较小，对周围环境影响较轻。</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⑥</w:t>
      </w:r>
      <w:r>
        <w:rPr>
          <w:rFonts w:hint="default" w:ascii="Times New Roman" w:hAnsi="Times New Roman" w:eastAsia="宋体" w:cs="Times New Roman"/>
          <w:sz w:val="24"/>
          <w:szCs w:val="24"/>
          <w:highlight w:val="none"/>
        </w:rPr>
        <w:t>本项目厂址选择合理。</w:t>
      </w:r>
    </w:p>
    <w:p>
      <w:pPr>
        <w:pStyle w:val="134"/>
        <w:keepNext w:val="0"/>
        <w:keepLines w:val="0"/>
        <w:pageBreakBefore w:val="0"/>
        <w:widowControl w:val="0"/>
        <w:kinsoku/>
        <w:wordWrap/>
        <w:overflowPunct/>
        <w:topLinePunct w:val="0"/>
        <w:bidi w:val="0"/>
        <w:snapToGrid w:val="0"/>
        <w:ind w:firstLine="48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综上所述，在落实各项环保措施的前提下，拟采取的措施满足区域环境质量改善目标管理要求，从环保角度分析，本项目可行。</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4.1.</w:t>
      </w:r>
      <w:r>
        <w:rPr>
          <w:rFonts w:hint="eastAsia" w:ascii="Times New Roman" w:hAnsi="Times New Roman" w:cs="Times New Roman"/>
          <w:sz w:val="24"/>
          <w:szCs w:val="24"/>
          <w:lang w:val="en-US" w:eastAsia="zh-CN"/>
        </w:rPr>
        <w:t>2建议</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为保护环境，最大限度减少污染物排放量，本环评提出以下要求和建议：</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、认真落实环保措施“三同时”制度，确保生产中环保设施正常运行。</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、为了防止环境污染，严格执行排放标准，建议建设单位设兼职环保管理人员1名，负责全厂的环境保护管理工作</w:t>
      </w:r>
      <w:r>
        <w:rPr>
          <w:rFonts w:hint="eastAsia" w:ascii="Times New Roman" w:hAnsi="Times New Roman" w:cs="Times New Roman"/>
          <w:color w:val="auto"/>
          <w:sz w:val="24"/>
          <w:szCs w:val="24"/>
          <w:lang w:eastAsia="zh-CN"/>
        </w:rPr>
        <w:t>。</w:t>
      </w:r>
    </w:p>
    <w:bookmarkEnd w:id="60"/>
    <w:bookmarkEnd w:id="61"/>
    <w:bookmarkEnd w:id="62"/>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2020年10月22日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河环表[2020]（10-22）号。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4"/>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建设单位：河间市百名彩砖制造厂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建设单位地址：河间市北石槽乡满堂村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废气：</w:t>
            </w:r>
            <w:r>
              <w:rPr>
                <w:rFonts w:hint="eastAsia" w:ascii="Times New Roman" w:hAnsi="Times New Roman" w:eastAsia="宋体" w:cs="Times New Roman"/>
                <w:color w:val="auto"/>
                <w:szCs w:val="21"/>
                <w:lang w:val="en-US" w:eastAsia="zh-CN"/>
              </w:rPr>
              <w:t>颗粒物要达到《水泥工业大气污染物超低排放标准》（DB13/2167-2020）表1散装水泥中转站及水泥制品生产、表2标准。</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废水：</w:t>
            </w:r>
            <w:r>
              <w:rPr>
                <w:rFonts w:hint="eastAsia" w:ascii="Times New Roman" w:hAnsi="Times New Roman" w:eastAsia="宋体" w:cs="Times New Roman"/>
                <w:color w:val="auto"/>
                <w:szCs w:val="21"/>
                <w:lang w:val="en-US" w:eastAsia="zh-CN"/>
              </w:rPr>
              <w:t>生活污水用于厂区泼洒抑尘或排入防渗旱厕，定期清掏。</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噪声：厂界噪声满足《工业企业厂界环境噪声排放标准》（</w:t>
            </w:r>
            <w:r>
              <w:rPr>
                <w:rFonts w:hint="eastAsia" w:ascii="Times New Roman" w:hAnsi="Times New Roman" w:eastAsia="宋体" w:cs="Times New Roman"/>
                <w:color w:val="auto"/>
                <w:szCs w:val="21"/>
                <w:lang w:val="en-US" w:eastAsia="zh-CN"/>
              </w:rPr>
              <w:t>GB12348-2008</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2、4类标准。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固废：</w:t>
            </w:r>
            <w:r>
              <w:rPr>
                <w:rFonts w:hint="eastAsia" w:ascii="Times New Roman" w:hAnsi="Times New Roman" w:eastAsia="宋体" w:cs="Times New Roman"/>
                <w:color w:val="auto"/>
                <w:szCs w:val="21"/>
                <w:lang w:val="en-US" w:eastAsia="zh-CN"/>
              </w:rPr>
              <w:t>生产过程中产生的固体废物要按照报告表所提各项措施进行处理。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6"/>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7"/>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7001475"/>
      <w:bookmarkStart w:id="72"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《水泥工业大气污染物超低排放标准》（DB13/2167-2020）表1中散装水泥中转站及水泥制品生产中颗粒物排放浓度、表2大气污染物无组织排放限值中颗粒物排放限值。</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6979037"/>
      <w:bookmarkStart w:id="74" w:name="_Toc497001476"/>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4"/>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030"/>
        <w:gridCol w:w="1908"/>
        <w:gridCol w:w="3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6"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030"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8"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558"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866"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水泥筒仓、上料、配料、搅拌工序</w:t>
            </w:r>
          </w:p>
        </w:tc>
        <w:tc>
          <w:tcPr>
            <w:tcW w:w="1030"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颗粒物</w:t>
            </w:r>
          </w:p>
        </w:tc>
        <w:tc>
          <w:tcPr>
            <w:tcW w:w="1908"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558"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Cs/>
                <w:szCs w:val="21"/>
              </w:rPr>
              <w:t>《水泥工业大气污染物超低排放标准》（DB13/ 2167-2020）表1大气污染物最高允许排放浓度中散装水泥中转站及水泥制品生产排放标准限值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866"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030"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TSP</w:t>
            </w:r>
          </w:p>
        </w:tc>
        <w:tc>
          <w:tcPr>
            <w:tcW w:w="1908"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0.5</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558"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《水泥工业大气污染物超低排放标准》（DB13/ 2167-2020）表2大气污染物无组织排放限值</w:t>
            </w:r>
          </w:p>
        </w:tc>
      </w:tr>
    </w:tbl>
    <w:p>
      <w:pPr>
        <w:pStyle w:val="7"/>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5"/>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5"/>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bookmarkEnd w:id="76"/>
      <w:bookmarkEnd w:id="77"/>
    </w:tbl>
    <w:p>
      <w:pPr>
        <w:pStyle w:val="6"/>
        <w:rPr>
          <w:rFonts w:hint="default" w:ascii="Times New Roman" w:hAnsi="Times New Roman" w:cs="Times New Roman"/>
        </w:rPr>
      </w:pPr>
      <w:bookmarkStart w:id="78" w:name="_Toc504325362"/>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ascii="宋体" w:hAnsi="宋体" w:eastAsia="宋体" w:cs="Times New Roman"/>
          <w:sz w:val="24"/>
          <w:szCs w:val="24"/>
        </w:rPr>
        <w:t>项目</w:t>
      </w:r>
      <w:r>
        <w:rPr>
          <w:rFonts w:hint="default" w:ascii="Times New Roman" w:hAnsi="Times New Roman" w:eastAsia="宋体" w:cs="Times New Roman"/>
          <w:sz w:val="24"/>
          <w:szCs w:val="24"/>
        </w:rPr>
        <w:t>建议总量控制指标为：化学需氧量：0t/a、氨氮：0t/a、二氧化硫：0t/a、氮氧化物：0t/a、颗粒物：</w:t>
      </w:r>
      <w:r>
        <w:rPr>
          <w:rFonts w:hint="eastAsia" w:ascii="Times New Roman" w:hAnsi="Times New Roman" w:eastAsia="宋体" w:cs="Times New Roman"/>
          <w:sz w:val="24"/>
          <w:szCs w:val="24"/>
          <w:lang w:val="en-US" w:eastAsia="zh-CN"/>
        </w:rPr>
        <w:t>0.504</w:t>
      </w:r>
      <w:r>
        <w:rPr>
          <w:rFonts w:hint="default" w:ascii="Times New Roman" w:hAnsi="Times New Roman" w:eastAsia="宋体" w:cs="Times New Roman"/>
          <w:sz w:val="24"/>
          <w:szCs w:val="24"/>
        </w:rPr>
        <w:t>t/a。</w:t>
      </w:r>
    </w:p>
    <w:p>
      <w:pPr>
        <w:pStyle w:val="5"/>
        <w:rPr>
          <w:rFonts w:hint="default" w:ascii="Times New Roman" w:hAnsi="Times New Roman" w:cs="Times New Roman"/>
        </w:rPr>
      </w:pPr>
      <w:bookmarkStart w:id="79" w:name="_Toc504325363"/>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2020年10月28日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2020年10月29日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4"/>
        <w:gridCol w:w="2294"/>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24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3244" w:type="dxa"/>
            <w:vAlign w:val="center"/>
          </w:tcPr>
          <w:p>
            <w:pPr>
              <w:spacing w:line="240" w:lineRule="auto"/>
              <w:ind w:left="-107" w:leftChars="-51" w:right="-107" w:rightChars="-51"/>
              <w:jc w:val="center"/>
              <w:rPr>
                <w:rFonts w:hint="default" w:ascii="Times New Roman" w:hAnsi="Times New Roman" w:eastAsia="宋体" w:cs="Times New Roman"/>
                <w:b/>
                <w:kern w:val="0"/>
                <w:sz w:val="21"/>
                <w:szCs w:val="21"/>
              </w:rPr>
            </w:pPr>
            <w:r>
              <w:rPr>
                <w:rFonts w:hint="default" w:ascii="Times New Roman" w:hAnsi="Times New Roman" w:eastAsia="宋体" w:cs="Times New Roman"/>
                <w:sz w:val="21"/>
                <w:szCs w:val="21"/>
                <w:lang w:val="en-US" w:eastAsia="zh-CN"/>
              </w:rPr>
              <w:t>水泥筒仓、上料、配料、搅拌工序废气处理设施出口设1个检测点位</w:t>
            </w:r>
          </w:p>
        </w:tc>
        <w:tc>
          <w:tcPr>
            <w:tcW w:w="2294" w:type="dxa"/>
            <w:vAlign w:val="center"/>
          </w:tcPr>
          <w:p>
            <w:pPr>
              <w:spacing w:line="240" w:lineRule="auto"/>
              <w:ind w:right="139" w:rightChars="66"/>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颗粒物</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检测2天，每天检测</w:t>
            </w:r>
            <w:r>
              <w:rPr>
                <w:rFonts w:hint="default" w:ascii="Times New Roman" w:hAnsi="Times New Roman" w:eastAsia="宋体" w:cs="Times New Roman"/>
                <w:kern w:val="0"/>
                <w:sz w:val="21"/>
                <w:szCs w:val="21"/>
                <w:lang w:val="en-US" w:eastAsia="zh-CN"/>
              </w:rPr>
              <w:t>3</w:t>
            </w:r>
            <w:r>
              <w:rPr>
                <w:rFonts w:hint="default" w:ascii="Times New Roman" w:hAnsi="Times New Roman" w:eastAsia="宋体" w:cs="Times New Roman"/>
                <w:kern w:val="0"/>
                <w:sz w:val="21"/>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exac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rPr>
            </w:pPr>
            <w:r>
              <w:rPr>
                <w:rFonts w:hint="default" w:ascii="Times New Roman" w:hAnsi="Times New Roman" w:eastAsia="宋体" w:cs="Times New Roman"/>
              </w:rPr>
              <w:t>上风向设1个参照点</w:t>
            </w:r>
          </w:p>
          <w:p>
            <w:pPr>
              <w:spacing w:line="240" w:lineRule="auto"/>
              <w:ind w:left="-107" w:leftChars="-51" w:right="-107" w:rightChars="-51"/>
              <w:jc w:val="center"/>
              <w:rPr>
                <w:rFonts w:hint="default" w:ascii="Times New Roman" w:hAnsi="Times New Roman" w:eastAsia="宋体" w:cs="Times New Roman"/>
              </w:rPr>
            </w:pPr>
            <w:r>
              <w:rPr>
                <w:rFonts w:hint="default" w:ascii="Times New Roman" w:hAnsi="Times New Roman" w:eastAsia="宋体" w:cs="Times New Roman"/>
              </w:rPr>
              <w:t>下风向浓度最高点设3个监控点</w:t>
            </w:r>
          </w:p>
        </w:tc>
        <w:tc>
          <w:tcPr>
            <w:tcW w:w="1994" w:type="dxa"/>
            <w:tcMar>
              <w:top w:w="0" w:type="dxa"/>
              <w:left w:w="0" w:type="dxa"/>
              <w:bottom w:w="0" w:type="dxa"/>
              <w:right w:w="51" w:type="dxa"/>
            </w:tcMar>
            <w:vAlign w:val="center"/>
          </w:tcPr>
          <w:p>
            <w:pPr>
              <w:spacing w:line="240" w:lineRule="auto"/>
              <w:ind w:left="-107" w:leftChars="-51" w:right="-107" w:rightChars="-51"/>
              <w:jc w:val="center"/>
              <w:rPr>
                <w:rFonts w:hint="default" w:ascii="Times New Roman" w:hAnsi="Times New Roman" w:eastAsia="宋体" w:cs="Times New Roman"/>
                <w:b w:val="0"/>
                <w:bCs/>
                <w:kern w:val="0"/>
                <w:szCs w:val="21"/>
                <w:lang w:val="en-US" w:eastAsia="zh-CN"/>
              </w:rPr>
            </w:pPr>
            <w:r>
              <w:rPr>
                <w:rFonts w:hint="eastAsia" w:ascii="Times New Roman" w:hAnsi="Times New Roman" w:eastAsia="宋体" w:cs="Times New Roman"/>
                <w:b w:val="0"/>
                <w:bCs/>
                <w:kern w:val="0"/>
                <w:szCs w:val="21"/>
                <w:lang w:val="en-US" w:eastAsia="zh-CN"/>
              </w:rPr>
              <w:t>TSP</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leftChars="-51" w:right="-107" w:rightChars="-51"/>
              <w:jc w:val="center"/>
              <w:textAlignment w:val="auto"/>
              <w:rPr>
                <w:rFonts w:hint="eastAsia" w:ascii="Times New Roman" w:hAnsi="Times New Roman" w:eastAsia="宋体" w:cs="Times New Roman"/>
                <w:lang w:eastAsia="zh-CN"/>
              </w:rPr>
            </w:pPr>
            <w:r>
              <w:rPr>
                <w:rFonts w:hint="default" w:ascii="Times New Roman" w:hAnsi="Times New Roman" w:eastAsia="宋体" w:cs="Times New Roman"/>
              </w:rPr>
              <w:t>厂界四周每个方向各</w:t>
            </w:r>
            <w:r>
              <w:rPr>
                <w:rFonts w:hint="eastAsia" w:ascii="Times New Roman" w:hAnsi="Times New Roman" w:eastAsia="宋体" w:cs="Times New Roman"/>
                <w:lang w:eastAsia="zh-CN"/>
              </w:rPr>
              <w:t>设置</w:t>
            </w:r>
          </w:p>
          <w:p>
            <w:pPr>
              <w:keepNext w:val="0"/>
              <w:keepLines w:val="0"/>
              <w:pageBreakBefore w:val="0"/>
              <w:widowControl w:val="0"/>
              <w:kinsoku/>
              <w:wordWrap/>
              <w:overflowPunct/>
              <w:topLinePunct w:val="0"/>
              <w:autoSpaceDE/>
              <w:autoSpaceDN/>
              <w:bidi w:val="0"/>
              <w:adjustRightInd/>
              <w:snapToGrid/>
              <w:spacing w:line="240" w:lineRule="exact"/>
              <w:ind w:left="-107" w:leftChars="-51" w:right="-107" w:rightChars="-51"/>
              <w:jc w:val="center"/>
              <w:textAlignment w:val="auto"/>
              <w:rPr>
                <w:rFonts w:hint="default" w:ascii="Times New Roman" w:hAnsi="Times New Roman" w:eastAsia="宋体" w:cs="Times New Roman"/>
              </w:rPr>
            </w:pPr>
            <w:r>
              <w:rPr>
                <w:rFonts w:hint="eastAsia" w:ascii="Times New Roman" w:hAnsi="Times New Roman" w:eastAsia="宋体" w:cs="Times New Roman"/>
                <w:lang w:val="en-US" w:eastAsia="zh-CN"/>
              </w:rPr>
              <w:t>1</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7"/>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spacing w:line="400" w:lineRule="atLeast"/>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7"/>
        <w:gridCol w:w="1443"/>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6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8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443" w:type="dxa"/>
            <w:tcBorders>
              <w:tl2br w:val="nil"/>
              <w:tr2bl w:val="nil"/>
            </w:tcBorders>
            <w:vAlign w:val="center"/>
          </w:tcPr>
          <w:p>
            <w:pPr>
              <w:spacing w:line="240" w:lineRule="auto"/>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检出限</w:t>
            </w:r>
          </w:p>
        </w:tc>
        <w:tc>
          <w:tcPr>
            <w:tcW w:w="2833" w:type="dxa"/>
            <w:tcBorders>
              <w:tl2br w:val="nil"/>
              <w:tr2bl w:val="nil"/>
            </w:tcBorders>
            <w:vAlign w:val="center"/>
          </w:tcPr>
          <w:p>
            <w:pPr>
              <w:spacing w:line="240" w:lineRule="auto"/>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2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低浓度颗粒物的测定 重量法》</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HJ836-2017</w:t>
            </w:r>
          </w:p>
        </w:tc>
        <w:tc>
          <w:tcPr>
            <w:tcW w:w="14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1.0</w:t>
            </w:r>
            <w:r>
              <w:rPr>
                <w:rFonts w:hint="default" w:ascii="Times New Roman" w:hAnsi="Times New Roman" w:eastAsia="宋体" w:cs="Times New Roman"/>
                <w:spacing w:val="0"/>
                <w:sz w:val="21"/>
                <w:szCs w:val="21"/>
                <w:lang w:val="en-US" w:eastAsia="zh-CN"/>
              </w:rPr>
              <w:t>mg/m</w:t>
            </w:r>
            <w:r>
              <w:rPr>
                <w:rFonts w:hint="default" w:ascii="Times New Roman" w:hAnsi="Times New Roman" w:eastAsia="宋体" w:cs="Times New Roman"/>
                <w:spacing w:val="0"/>
                <w:sz w:val="21"/>
                <w:szCs w:val="21"/>
                <w:vertAlign w:val="superscript"/>
                <w:lang w:val="en-US" w:eastAsia="zh-CN"/>
              </w:rPr>
              <w:t>3</w:t>
            </w:r>
          </w:p>
        </w:tc>
        <w:tc>
          <w:tcPr>
            <w:tcW w:w="2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YQ3000-C全自动烟尘（气）测试仪（YQ 029-03）</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101-2AB电热鼓风干燥箱</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 015-01）</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AUW220D岛津电子天平</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（YQ 009-03）</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H06恒温恒湿室</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rPr>
              <w:t>（YQ 053-01）</w:t>
            </w:r>
          </w:p>
        </w:tc>
      </w:tr>
    </w:tbl>
    <w:p>
      <w:pPr>
        <w:spacing w:line="400" w:lineRule="atLeast"/>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43"/>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443" w:type="dxa"/>
            <w:tcBorders>
              <w:tl2br w:val="nil"/>
              <w:tr2bl w:val="nil"/>
            </w:tcBorders>
            <w:vAlign w:val="center"/>
          </w:tcPr>
          <w:p>
            <w:pPr>
              <w:spacing w:line="240" w:lineRule="auto"/>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检出限</w:t>
            </w:r>
          </w:p>
        </w:tc>
        <w:tc>
          <w:tcPr>
            <w:tcW w:w="3123" w:type="dxa"/>
            <w:tcBorders>
              <w:tl2br w:val="nil"/>
              <w:tr2bl w:val="nil"/>
            </w:tcBorders>
            <w:vAlign w:val="center"/>
          </w:tcPr>
          <w:p>
            <w:pPr>
              <w:spacing w:line="240" w:lineRule="auto"/>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总悬浮颗粒物的测定 重量法》</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GB/T 15432-1995</w:t>
            </w:r>
          </w:p>
        </w:tc>
        <w:tc>
          <w:tcPr>
            <w:tcW w:w="14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0.0</w:t>
            </w:r>
            <w:r>
              <w:rPr>
                <w:rFonts w:hint="eastAsia" w:ascii="Times New Roman" w:hAnsi="Times New Roman" w:eastAsia="宋体" w:cs="Times New Roman"/>
                <w:color w:val="000000"/>
                <w:kern w:val="0"/>
                <w:sz w:val="21"/>
                <w:szCs w:val="21"/>
                <w:lang w:val="en-US" w:eastAsia="zh-CN"/>
              </w:rPr>
              <w:t>01</w:t>
            </w:r>
            <w:r>
              <w:rPr>
                <w:rFonts w:hint="default" w:ascii="Times New Roman" w:hAnsi="Times New Roman" w:eastAsia="宋体" w:cs="Times New Roman"/>
                <w:color w:val="000000"/>
                <w:kern w:val="0"/>
                <w:sz w:val="21"/>
                <w:szCs w:val="21"/>
                <w:lang w:val="en-US" w:eastAsia="zh-CN"/>
              </w:rPr>
              <w:t>mg/m</w:t>
            </w:r>
            <w:r>
              <w:rPr>
                <w:rFonts w:hint="default" w:ascii="Times New Roman" w:hAnsi="Times New Roman" w:eastAsia="宋体" w:cs="Times New Roman"/>
                <w:color w:val="000000"/>
                <w:kern w:val="0"/>
                <w:sz w:val="21"/>
                <w:szCs w:val="21"/>
                <w:vertAlign w:val="superscript"/>
                <w:lang w:val="en-US" w:eastAsia="zh-CN"/>
              </w:rPr>
              <w:t>3</w:t>
            </w:r>
          </w:p>
        </w:tc>
        <w:tc>
          <w:tcPr>
            <w:tcW w:w="31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MH1200-16代全自动颗粒物大气采样器（YQ 030-01、02）</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MH1200型全自动颗粒物大气采样器（YQ 030-03、04）</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048-03）</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DEM6轻便三杯风向风速表</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038-04）</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AUW220D岛津电子天平</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009-03）</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H06恒温恒湿室</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（YQ 053-01）</w:t>
            </w:r>
          </w:p>
        </w:tc>
      </w:tr>
    </w:tbl>
    <w:p>
      <w:pPr>
        <w:spacing w:line="400" w:lineRule="atLeast"/>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4"/>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0"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GB 12348-2008</w:t>
            </w:r>
            <w:r>
              <w:rPr>
                <w:rFonts w:hint="default" w:ascii="Times New Roman" w:hAnsi="Times New Roman" w:eastAsia="宋体" w:cs="Times New Roman"/>
                <w:sz w:val="21"/>
                <w:szCs w:val="21"/>
                <w:lang w:eastAsia="zh-CN"/>
              </w:rPr>
              <w:t>）</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AWA6228</w:t>
            </w:r>
            <w:r>
              <w:rPr>
                <w:rFonts w:hint="default" w:ascii="Times New Roman" w:hAnsi="Times New Roman" w:eastAsia="宋体" w:cs="Times New Roman"/>
                <w:bCs/>
                <w:sz w:val="21"/>
                <w:szCs w:val="21"/>
                <w:vertAlign w:val="superscript"/>
                <w:lang w:val="en-US" w:eastAsia="zh-CN" w:bidi="ar"/>
              </w:rPr>
              <w:t>+</w:t>
            </w:r>
            <w:r>
              <w:rPr>
                <w:rFonts w:hint="default" w:ascii="Times New Roman" w:hAnsi="Times New Roman" w:eastAsia="宋体" w:cs="Times New Roman"/>
                <w:bCs/>
                <w:sz w:val="21"/>
                <w:szCs w:val="21"/>
                <w:lang w:val="en-US" w:eastAsia="zh-CN" w:bidi="ar"/>
              </w:rPr>
              <w:t>多功能声级计</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036-01）</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036-04）</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DEM6轻便三杯风向风速表</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038-04）</w:t>
            </w:r>
          </w:p>
        </w:tc>
      </w:tr>
    </w:tbl>
    <w:p>
      <w:pPr>
        <w:rPr>
          <w:rFonts w:hint="default" w:ascii="Times New Roman" w:hAnsi="Times New Roman" w:cs="Times New Roman"/>
        </w:rPr>
      </w:pPr>
      <w:r>
        <w:rPr>
          <w:rFonts w:hint="default" w:ascii="Times New Roman" w:hAnsi="Times New Roman" w:cs="Times New Roman"/>
        </w:rPr>
        <w:br w:type="page"/>
      </w:r>
    </w:p>
    <w:p>
      <w:pPr>
        <w:pStyle w:val="7"/>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b/>
          <w:sz w:val="28"/>
          <w:szCs w:val="28"/>
        </w:rPr>
        <w:pict>
          <v:shape id="_x0000_s1168" o:spid="_x0000_s1168" o:spt="75" type="#_x0000_t75" style="position:absolute;left:0pt;margin-left:187.2pt;margin-top:2.85pt;height:297.55pt;width:293.3pt;z-index:1000625152;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168" DrawAspect="Content" ObjectID="_1468075725" r:id="rId9">
            <o:LockedField>false</o:LockedField>
          </o:OLEObject>
        </w:pict>
      </w:r>
      <w:r>
        <w:rPr>
          <w:b/>
          <w:sz w:val="28"/>
          <w:szCs w:val="28"/>
        </w:rPr>
        <w:pict>
          <v:shape id="_x0000_s1167" o:spid="_x0000_s1167" o:spt="75" type="#_x0000_t75" style="position:absolute;left:0pt;margin-left:-64.6pt;margin-top:6.6pt;height:301.15pt;width:283.5pt;z-index:1000624128;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167"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pStyle w:val="130"/>
        <w:rPr>
          <w:rFonts w:hint="default" w:ascii="Times New Roman" w:hAnsi="Times New Roman" w:cs="Times New Roman"/>
          <w:bCs/>
          <w:sz w:val="18"/>
          <w:szCs w:val="18"/>
        </w:rPr>
      </w:pPr>
    </w:p>
    <w:p>
      <w:pPr>
        <w:pStyle w:val="130"/>
        <w:rPr>
          <w:rFonts w:hint="default" w:ascii="Times New Roman" w:hAnsi="Times New Roman" w:cs="Times New Roman"/>
          <w:bCs/>
          <w:sz w:val="18"/>
          <w:szCs w:val="18"/>
        </w:rPr>
      </w:pPr>
    </w:p>
    <w:p>
      <w:pPr>
        <w:pStyle w:val="130"/>
        <w:rPr>
          <w:rFonts w:hint="default" w:ascii="Times New Roman" w:hAnsi="Times New Roman" w:cs="Times New Roman"/>
          <w:bCs/>
          <w:sz w:val="18"/>
          <w:szCs w:val="18"/>
        </w:rPr>
      </w:pPr>
    </w:p>
    <w:p>
      <w:pPr>
        <w:pStyle w:val="130"/>
        <w:rPr>
          <w:rFonts w:hint="default" w:ascii="Times New Roman" w:hAnsi="Times New Roman" w:cs="Times New Roman"/>
          <w:bCs/>
          <w:sz w:val="18"/>
          <w:szCs w:val="18"/>
        </w:rPr>
      </w:pPr>
    </w:p>
    <w:p>
      <w:pPr>
        <w:pStyle w:val="130"/>
        <w:rPr>
          <w:rFonts w:hint="default" w:ascii="Times New Roman" w:hAnsi="Times New Roman" w:cs="Times New Roman"/>
          <w:bCs/>
          <w:sz w:val="18"/>
          <w:szCs w:val="18"/>
        </w:rPr>
      </w:pPr>
    </w:p>
    <w:p>
      <w:pPr>
        <w:pStyle w:val="130"/>
        <w:rPr>
          <w:rFonts w:hint="default" w:ascii="Times New Roman" w:hAnsi="Times New Roman" w:cs="Times New Roman"/>
          <w:bCs/>
          <w:sz w:val="18"/>
          <w:szCs w:val="18"/>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5"/>
        <w:spacing w:line="440" w:lineRule="atLeast"/>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6"/>
        <w:spacing w:line="440" w:lineRule="atLeast"/>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7"/>
        <w:spacing w:line="440" w:lineRule="atLeast"/>
        <w:rPr>
          <w:rFonts w:hint="default" w:ascii="Times New Roman" w:hAnsi="Times New Roman" w:cs="Times New Roman"/>
        </w:rPr>
      </w:pPr>
      <w:bookmarkStart w:id="90" w:name="_Toc497001486"/>
      <w:bookmarkStart w:id="91" w:name="_Toc504325371"/>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4"/>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87"/>
        <w:gridCol w:w="687"/>
        <w:gridCol w:w="689"/>
        <w:gridCol w:w="742"/>
        <w:gridCol w:w="1500"/>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63"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742"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均值</w:t>
            </w:r>
          </w:p>
        </w:tc>
        <w:tc>
          <w:tcPr>
            <w:tcW w:w="1500"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87"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87"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8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74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00"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restart"/>
            <w:tcBorders>
              <w:left w:val="single" w:color="auto" w:sz="4" w:space="0"/>
            </w:tcBorders>
            <w:vAlign w:val="center"/>
          </w:tcPr>
          <w:p>
            <w:pPr>
              <w:adjustRightInd w:val="0"/>
              <w:snapToGrid w:val="0"/>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水泥筒仓、上料、配料、搅拌工序废气处理设施出口2020.10.28</w:t>
            </w: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标干流量</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/h</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7914</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7814</w:t>
            </w:r>
          </w:p>
        </w:tc>
        <w:tc>
          <w:tcPr>
            <w:tcW w:w="689"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7776</w:t>
            </w:r>
          </w:p>
        </w:tc>
        <w:tc>
          <w:tcPr>
            <w:tcW w:w="742"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average(D3:F3)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783</w:t>
            </w:r>
            <w:r>
              <w:rPr>
                <w:rFonts w:hint="eastAsia" w:ascii="Times New Roman" w:hAnsi="Times New Roman" w:eastAsia="宋体" w:cs="Times New Roman"/>
                <w:b w:val="0"/>
                <w:bCs/>
                <w:spacing w:val="0"/>
                <w:sz w:val="21"/>
                <w:szCs w:val="21"/>
                <w:lang w:val="en-US" w:eastAsia="zh-CN"/>
              </w:rPr>
              <w:t>5</w:t>
            </w:r>
            <w:r>
              <w:rPr>
                <w:rFonts w:hint="default" w:ascii="Times New Roman" w:hAnsi="Times New Roman" w:eastAsia="宋体" w:cs="Times New Roman"/>
                <w:b w:val="0"/>
                <w:bCs/>
                <w:spacing w:val="0"/>
                <w:sz w:val="21"/>
                <w:szCs w:val="21"/>
                <w:lang w:val="en-US" w:eastAsia="zh-CN"/>
              </w:rPr>
              <w:fldChar w:fldCharType="end"/>
            </w:r>
          </w:p>
        </w:tc>
        <w:tc>
          <w:tcPr>
            <w:tcW w:w="150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ascii="Times New Roman" w:hAnsi="Times New Roman" w:cs="Times New Roman"/>
                <w:szCs w:val="21"/>
              </w:rPr>
              <w:t>DB13/2167-2020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颗粒物</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mg/m</w:t>
            </w:r>
            <w:r>
              <w:rPr>
                <w:rFonts w:hint="default" w:ascii="Times New Roman" w:hAnsi="Times New Roman" w:eastAsia="宋体" w:cs="Times New Roman"/>
                <w:spacing w:val="0"/>
                <w:sz w:val="21"/>
                <w:szCs w:val="21"/>
                <w:vertAlign w:val="superscript"/>
              </w:rPr>
              <w:t>3</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9.2</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8.7</w:t>
            </w:r>
          </w:p>
        </w:tc>
        <w:tc>
          <w:tcPr>
            <w:tcW w:w="689"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8.3</w:t>
            </w:r>
          </w:p>
        </w:tc>
        <w:tc>
          <w:tcPr>
            <w:tcW w:w="742"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average(D4:F4)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8.7</w:t>
            </w:r>
            <w:r>
              <w:rPr>
                <w:rFonts w:hint="default" w:ascii="Times New Roman" w:hAnsi="Times New Roman" w:eastAsia="宋体" w:cs="Times New Roman"/>
                <w:b w:val="0"/>
                <w:bCs/>
                <w:spacing w:val="0"/>
                <w:sz w:val="21"/>
                <w:szCs w:val="21"/>
                <w:lang w:val="en-US" w:eastAsia="zh-CN"/>
              </w:rPr>
              <w:fldChar w:fldCharType="end"/>
            </w:r>
          </w:p>
        </w:tc>
        <w:tc>
          <w:tcPr>
            <w:tcW w:w="150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10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颗粒物排放速率</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k</w:t>
            </w:r>
            <w:r>
              <w:rPr>
                <w:rFonts w:hint="default" w:ascii="Times New Roman" w:hAnsi="Times New Roman" w:eastAsia="宋体" w:cs="Times New Roman"/>
                <w:spacing w:val="0"/>
                <w:sz w:val="21"/>
                <w:szCs w:val="21"/>
              </w:rPr>
              <w:t>g/</w:t>
            </w:r>
            <w:r>
              <w:rPr>
                <w:rFonts w:hint="default" w:ascii="Times New Roman" w:hAnsi="Times New Roman" w:eastAsia="宋体" w:cs="Times New Roman"/>
                <w:spacing w:val="0"/>
                <w:sz w:val="21"/>
                <w:szCs w:val="21"/>
                <w:lang w:val="en-US" w:eastAsia="zh-CN"/>
              </w:rPr>
              <w:t>h</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0.073</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0.068</w:t>
            </w:r>
          </w:p>
        </w:tc>
        <w:tc>
          <w:tcPr>
            <w:tcW w:w="689"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0.065</w:t>
            </w:r>
          </w:p>
        </w:tc>
        <w:tc>
          <w:tcPr>
            <w:tcW w:w="742"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average(D5:F5)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0.06</w:t>
            </w:r>
            <w:r>
              <w:rPr>
                <w:rFonts w:hint="eastAsia" w:ascii="Times New Roman" w:hAnsi="Times New Roman" w:eastAsia="宋体" w:cs="Times New Roman"/>
                <w:b w:val="0"/>
                <w:bCs/>
                <w:spacing w:val="0"/>
                <w:sz w:val="21"/>
                <w:szCs w:val="21"/>
                <w:lang w:val="en-US" w:eastAsia="zh-CN"/>
              </w:rPr>
              <w:t>9</w:t>
            </w:r>
            <w:r>
              <w:rPr>
                <w:rFonts w:hint="default" w:ascii="Times New Roman" w:hAnsi="Times New Roman" w:eastAsia="宋体" w:cs="Times New Roman"/>
                <w:b w:val="0"/>
                <w:bCs/>
                <w:spacing w:val="0"/>
                <w:sz w:val="21"/>
                <w:szCs w:val="21"/>
                <w:lang w:val="en-US" w:eastAsia="zh-CN"/>
              </w:rPr>
              <w:fldChar w:fldCharType="end"/>
            </w:r>
          </w:p>
        </w:tc>
        <w:tc>
          <w:tcPr>
            <w:tcW w:w="150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restart"/>
            <w:tcBorders>
              <w:left w:val="single" w:color="auto" w:sz="4" w:space="0"/>
            </w:tcBorders>
            <w:vAlign w:val="center"/>
          </w:tcPr>
          <w:p>
            <w:pPr>
              <w:adjustRightInd w:val="0"/>
              <w:snapToGrid w:val="0"/>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水泥筒仓、上料、配料、搅拌工序废气处理设施出口2020.10.29</w:t>
            </w: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标干流量</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m</w:t>
            </w:r>
            <w:r>
              <w:rPr>
                <w:rFonts w:hint="default" w:ascii="Times New Roman" w:hAnsi="Times New Roman" w:eastAsia="宋体" w:cs="Times New Roman"/>
                <w:spacing w:val="0"/>
                <w:sz w:val="21"/>
                <w:szCs w:val="21"/>
                <w:vertAlign w:val="superscript"/>
              </w:rPr>
              <w:t>3</w:t>
            </w:r>
            <w:r>
              <w:rPr>
                <w:rFonts w:hint="default" w:ascii="Times New Roman" w:hAnsi="Times New Roman" w:eastAsia="宋体" w:cs="Times New Roman"/>
                <w:spacing w:val="0"/>
                <w:sz w:val="21"/>
                <w:szCs w:val="21"/>
              </w:rPr>
              <w:t>/h</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7856</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7743</w:t>
            </w:r>
          </w:p>
        </w:tc>
        <w:tc>
          <w:tcPr>
            <w:tcW w:w="689"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7794</w:t>
            </w:r>
          </w:p>
        </w:tc>
        <w:tc>
          <w:tcPr>
            <w:tcW w:w="742"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average(D6:F6)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779</w:t>
            </w:r>
            <w:r>
              <w:rPr>
                <w:rFonts w:hint="eastAsia" w:ascii="Times New Roman" w:hAnsi="Times New Roman" w:eastAsia="宋体" w:cs="Times New Roman"/>
                <w:b w:val="0"/>
                <w:bCs/>
                <w:spacing w:val="0"/>
                <w:sz w:val="21"/>
                <w:szCs w:val="21"/>
                <w:lang w:val="en-US" w:eastAsia="zh-CN"/>
              </w:rPr>
              <w:t>8</w:t>
            </w:r>
            <w:r>
              <w:rPr>
                <w:rFonts w:hint="default" w:ascii="Times New Roman" w:hAnsi="Times New Roman" w:eastAsia="宋体" w:cs="Times New Roman"/>
                <w:b w:val="0"/>
                <w:bCs/>
                <w:spacing w:val="0"/>
                <w:sz w:val="21"/>
                <w:szCs w:val="21"/>
                <w:lang w:val="en-US" w:eastAsia="zh-CN"/>
              </w:rPr>
              <w:fldChar w:fldCharType="end"/>
            </w:r>
          </w:p>
        </w:tc>
        <w:tc>
          <w:tcPr>
            <w:tcW w:w="150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ascii="Times New Roman" w:hAnsi="Times New Roman" w:cs="Times New Roman"/>
                <w:szCs w:val="21"/>
              </w:rPr>
              <w:t>DB13/2167-2020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颗粒物</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rPr>
              <w:t>mg/m</w:t>
            </w:r>
            <w:r>
              <w:rPr>
                <w:rFonts w:hint="default" w:ascii="Times New Roman" w:hAnsi="Times New Roman" w:eastAsia="宋体" w:cs="Times New Roman"/>
                <w:spacing w:val="0"/>
                <w:sz w:val="21"/>
                <w:szCs w:val="21"/>
                <w:vertAlign w:val="superscript"/>
              </w:rPr>
              <w:t>3</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8.9</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8.3</w:t>
            </w:r>
          </w:p>
        </w:tc>
        <w:tc>
          <w:tcPr>
            <w:tcW w:w="689"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9.1</w:t>
            </w:r>
          </w:p>
        </w:tc>
        <w:tc>
          <w:tcPr>
            <w:tcW w:w="742"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average(D7:F7)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8.</w:t>
            </w:r>
            <w:r>
              <w:rPr>
                <w:rFonts w:hint="eastAsia" w:ascii="Times New Roman" w:hAnsi="Times New Roman" w:eastAsia="宋体" w:cs="Times New Roman"/>
                <w:b w:val="0"/>
                <w:bCs/>
                <w:spacing w:val="0"/>
                <w:sz w:val="21"/>
                <w:szCs w:val="21"/>
                <w:lang w:val="en-US" w:eastAsia="zh-CN"/>
              </w:rPr>
              <w:t>8</w:t>
            </w:r>
            <w:r>
              <w:rPr>
                <w:rFonts w:hint="default" w:ascii="Times New Roman" w:hAnsi="Times New Roman" w:eastAsia="宋体" w:cs="Times New Roman"/>
                <w:b w:val="0"/>
                <w:bCs/>
                <w:spacing w:val="0"/>
                <w:sz w:val="21"/>
                <w:szCs w:val="21"/>
                <w:lang w:val="en-US" w:eastAsia="zh-CN"/>
              </w:rPr>
              <w:fldChar w:fldCharType="end"/>
            </w:r>
          </w:p>
        </w:tc>
        <w:tc>
          <w:tcPr>
            <w:tcW w:w="150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颗粒物排放速率</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k</w:t>
            </w:r>
            <w:r>
              <w:rPr>
                <w:rFonts w:hint="default" w:ascii="Times New Roman" w:hAnsi="Times New Roman" w:eastAsia="宋体" w:cs="Times New Roman"/>
                <w:spacing w:val="0"/>
                <w:sz w:val="21"/>
                <w:szCs w:val="21"/>
              </w:rPr>
              <w:t>g/</w:t>
            </w:r>
            <w:r>
              <w:rPr>
                <w:rFonts w:hint="default" w:ascii="Times New Roman" w:hAnsi="Times New Roman" w:eastAsia="宋体" w:cs="Times New Roman"/>
                <w:spacing w:val="0"/>
                <w:sz w:val="21"/>
                <w:szCs w:val="21"/>
                <w:lang w:val="en-US" w:eastAsia="zh-CN"/>
              </w:rPr>
              <w:t>h</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0.070</w:t>
            </w:r>
          </w:p>
        </w:tc>
        <w:tc>
          <w:tcPr>
            <w:tcW w:w="687"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0.064</w:t>
            </w:r>
          </w:p>
        </w:tc>
        <w:tc>
          <w:tcPr>
            <w:tcW w:w="689" w:type="dxa"/>
            <w:tcBorders>
              <w:top w:val="single" w:color="auto" w:sz="4" w:space="0"/>
              <w:right w:val="single" w:color="auto" w:sz="4" w:space="0"/>
            </w:tcBorders>
            <w:vAlign w:val="center"/>
          </w:tcPr>
          <w:p>
            <w:pPr>
              <w:adjustRightInd w:val="0"/>
              <w:snapToGri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0.071</w:t>
            </w:r>
          </w:p>
        </w:tc>
        <w:tc>
          <w:tcPr>
            <w:tcW w:w="742"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average(D8:F8)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0.068</w:t>
            </w:r>
            <w:r>
              <w:rPr>
                <w:rFonts w:hint="default" w:ascii="Times New Roman" w:hAnsi="Times New Roman" w:eastAsia="宋体" w:cs="Times New Roman"/>
                <w:b w:val="0"/>
                <w:bCs/>
                <w:spacing w:val="0"/>
                <w:sz w:val="21"/>
                <w:szCs w:val="21"/>
                <w:lang w:val="en-US" w:eastAsia="zh-CN"/>
              </w:rPr>
              <w:fldChar w:fldCharType="end"/>
            </w:r>
          </w:p>
        </w:tc>
        <w:tc>
          <w:tcPr>
            <w:tcW w:w="150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rPr>
            </w:pPr>
            <w:r>
              <w:rPr>
                <w:rFonts w:hint="eastAsia"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right w:val="single" w:color="auto" w:sz="4" w:space="0"/>
            </w:tcBorders>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2400小时</w:t>
            </w:r>
            <w:r>
              <w:rPr>
                <w:rFonts w:hint="default" w:ascii="Times New Roman" w:hAnsi="Times New Roman" w:eastAsia="宋体" w:cs="Times New Roman"/>
                <w:b w:val="0"/>
                <w:bCs/>
                <w:spacing w:val="0"/>
                <w:sz w:val="21"/>
                <w:szCs w:val="21"/>
                <w:highlight w:val="none"/>
                <w:lang w:val="en-US" w:eastAsia="zh-CN"/>
              </w:rPr>
              <w:t>；执行</w:t>
            </w:r>
            <w:r>
              <w:rPr>
                <w:rFonts w:hint="eastAsia" w:ascii="Times New Roman" w:hAnsi="Times New Roman" w:eastAsia="宋体" w:cs="Times New Roman"/>
                <w:b w:val="0"/>
                <w:bCs/>
                <w:spacing w:val="0"/>
                <w:sz w:val="21"/>
                <w:szCs w:val="21"/>
                <w:highlight w:val="none"/>
                <w:lang w:val="en-US" w:eastAsia="zh-CN"/>
              </w:rPr>
              <w:t>《水泥工业大气污染物超低排放标准》（DB13/2167-2020）表1大气污染物最高允许排放浓度中散装水泥中转站及水泥制品生产排放标准限值</w:t>
            </w:r>
          </w:p>
        </w:tc>
      </w:tr>
    </w:tbl>
    <w:p>
      <w:pPr>
        <w:pStyle w:val="7"/>
        <w:rPr>
          <w:rFonts w:hint="default" w:ascii="Times New Roman" w:hAnsi="Times New Roman" w:cs="Times New Roman"/>
        </w:rPr>
      </w:pPr>
      <w:bookmarkStart w:id="92" w:name="_Toc503969735"/>
      <w:bookmarkStart w:id="93" w:name="_Toc503681484"/>
      <w:bookmarkStart w:id="94" w:name="_Toc504325372"/>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4"/>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2130"/>
        <w:gridCol w:w="2130"/>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bookmarkStart w:id="95" w:name="_Toc497001489"/>
            <w:bookmarkStart w:id="96" w:name="_Toc504325373"/>
            <w:r>
              <w:rPr>
                <w:rFonts w:hint="default" w:ascii="Times New Roman" w:hAnsi="Times New Roman" w:eastAsia="宋体" w:cs="Times New Roman"/>
                <w:b w:val="0"/>
                <w:bCs w:val="0"/>
                <w:sz w:val="21"/>
                <w:szCs w:val="21"/>
              </w:rPr>
              <w:t>检测项目</w:t>
            </w:r>
          </w:p>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6392" w:type="dxa"/>
            <w:gridSpan w:val="3"/>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2130"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2130"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2132" w:type="dxa"/>
            <w:vAlign w:val="center"/>
          </w:tcPr>
          <w:p>
            <w:pPr>
              <w:pStyle w:val="106"/>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eastAsia" w:cs="Times New Roman"/>
                <w:sz w:val="21"/>
                <w:szCs w:val="21"/>
                <w:lang w:val="en-US" w:eastAsia="zh-CN"/>
              </w:rPr>
            </w:pPr>
            <w:r>
              <w:rPr>
                <w:rFonts w:hint="eastAsia" w:cs="Times New Roman"/>
                <w:sz w:val="21"/>
                <w:szCs w:val="21"/>
                <w:lang w:val="en-US" w:eastAsia="zh-CN"/>
              </w:rPr>
              <w:t>TSP</w:t>
            </w:r>
          </w:p>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r>
              <w:rPr>
                <w:rFonts w:hint="eastAsia" w:cs="Times New Roman"/>
                <w:sz w:val="21"/>
                <w:szCs w:val="21"/>
                <w:lang w:eastAsia="zh-CN"/>
              </w:rPr>
              <w:t>2020.10.28</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参照点</w:t>
            </w:r>
            <w:r>
              <w:rPr>
                <w:rFonts w:hint="eastAsia" w:ascii="Times New Roman" w:hAnsi="Times New Roman" w:cs="Times New Roman"/>
                <w:spacing w:val="0"/>
                <w:sz w:val="21"/>
                <w:szCs w:val="21"/>
                <w:lang w:val="en-US" w:eastAsia="zh-CN"/>
              </w:rPr>
              <w:t>4</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0.267</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0.283</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pStyle w:val="106"/>
              <w:keepNext w:val="0"/>
              <w:keepLines w:val="0"/>
              <w:pageBreakBefore w:val="0"/>
              <w:widowControl w:val="0"/>
              <w:kinsoku/>
              <w:wordWrap/>
              <w:overflowPunct/>
              <w:topLinePunct w:val="0"/>
              <w:autoSpaceDE/>
              <w:autoSpaceDN/>
              <w:bidi w:val="0"/>
              <w:adjustRightInd w:val="0"/>
              <w:snapToGrid w:val="0"/>
              <w:spacing w:line="240" w:lineRule="exact"/>
              <w:ind w:left="-107" w:leftChars="-51" w:right="-122" w:rightChars="-58"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1</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0.583</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0.617</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2</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0.600</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0.567</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pStyle w:val="106"/>
              <w:keepNext w:val="0"/>
              <w:keepLines w:val="0"/>
              <w:pageBreakBefore w:val="0"/>
              <w:widowControl w:val="0"/>
              <w:kinsoku/>
              <w:wordWrap/>
              <w:overflowPunct/>
              <w:topLinePunct w:val="0"/>
              <w:autoSpaceDE/>
              <w:autoSpaceDN/>
              <w:bidi w:val="0"/>
              <w:adjustRightInd w:val="0"/>
              <w:snapToGrid w:val="0"/>
              <w:spacing w:line="240" w:lineRule="exact"/>
              <w:ind w:left="-107" w:leftChars="-51" w:right="-122" w:rightChars="-58"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3</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0.583</w:t>
            </w:r>
          </w:p>
        </w:tc>
        <w:tc>
          <w:tcPr>
            <w:tcW w:w="2130" w:type="dxa"/>
            <w:vAlign w:val="center"/>
          </w:tcPr>
          <w:p>
            <w:pPr>
              <w:ind w:left="-107" w:leftChars="-51" w:right="-76" w:rightChars="-36"/>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0.600</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eastAsia" w:cs="Times New Roman"/>
                <w:sz w:val="21"/>
                <w:szCs w:val="21"/>
                <w:lang w:val="en-US" w:eastAsia="zh-CN"/>
              </w:rPr>
            </w:pPr>
            <w:r>
              <w:rPr>
                <w:rFonts w:hint="eastAsia" w:cs="Times New Roman"/>
                <w:sz w:val="21"/>
                <w:szCs w:val="21"/>
                <w:lang w:val="en-US" w:eastAsia="zh-CN"/>
              </w:rPr>
              <w:t>TSP</w:t>
            </w:r>
          </w:p>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r>
              <w:rPr>
                <w:rFonts w:hint="eastAsia" w:cs="Times New Roman"/>
                <w:sz w:val="21"/>
                <w:szCs w:val="21"/>
                <w:lang w:eastAsia="zh-CN"/>
              </w:rPr>
              <w:t>2020.10.29</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参照点</w:t>
            </w:r>
            <w:r>
              <w:rPr>
                <w:rFonts w:hint="eastAsia" w:ascii="Times New Roman" w:hAnsi="Times New Roman" w:cs="Times New Roman"/>
                <w:spacing w:val="0"/>
                <w:sz w:val="21"/>
                <w:szCs w:val="21"/>
                <w:lang w:val="en-US" w:eastAsia="zh-CN"/>
              </w:rPr>
              <w:t>4</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0.250</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0.267</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pStyle w:val="106"/>
              <w:keepNext w:val="0"/>
              <w:keepLines w:val="0"/>
              <w:pageBreakBefore w:val="0"/>
              <w:widowControl w:val="0"/>
              <w:kinsoku/>
              <w:wordWrap/>
              <w:overflowPunct/>
              <w:topLinePunct w:val="0"/>
              <w:autoSpaceDE/>
              <w:autoSpaceDN/>
              <w:bidi w:val="0"/>
              <w:adjustRightInd w:val="0"/>
              <w:snapToGrid w:val="0"/>
              <w:spacing w:line="240" w:lineRule="exact"/>
              <w:ind w:left="-107" w:leftChars="-51" w:right="-122" w:rightChars="-58"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1</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0.517</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0.550</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2</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0.550</w:t>
            </w:r>
          </w:p>
        </w:tc>
        <w:tc>
          <w:tcPr>
            <w:tcW w:w="2130"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0.533</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pStyle w:val="106"/>
              <w:keepNext w:val="0"/>
              <w:keepLines w:val="0"/>
              <w:pageBreakBefore w:val="0"/>
              <w:widowControl w:val="0"/>
              <w:kinsoku/>
              <w:wordWrap/>
              <w:overflowPunct/>
              <w:topLinePunct w:val="0"/>
              <w:autoSpaceDE/>
              <w:autoSpaceDN/>
              <w:bidi w:val="0"/>
              <w:adjustRightInd w:val="0"/>
              <w:snapToGrid w:val="0"/>
              <w:spacing w:line="240" w:lineRule="exact"/>
              <w:ind w:left="-107" w:leftChars="-51" w:right="-122" w:rightChars="-58"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3</w:t>
            </w:r>
            <w:r>
              <w:rPr>
                <w:rFonts w:hint="default" w:ascii="Times New Roman" w:hAnsi="Times New Roman" w:cs="Times New Roman"/>
                <w:spacing w:val="0"/>
                <w:sz w:val="21"/>
                <w:szCs w:val="21"/>
                <w:lang w:val="en-US" w:eastAsia="zh-CN"/>
              </w:rPr>
              <w:t>#</w:t>
            </w:r>
          </w:p>
        </w:tc>
        <w:tc>
          <w:tcPr>
            <w:tcW w:w="2130" w:type="dxa"/>
            <w:vAlign w:val="center"/>
          </w:tcPr>
          <w:p>
            <w:pPr>
              <w:ind w:left="-107" w:leftChars="-51" w:right="-76" w:rightChars="-36"/>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0.567</w:t>
            </w:r>
          </w:p>
        </w:tc>
        <w:tc>
          <w:tcPr>
            <w:tcW w:w="2130" w:type="dxa"/>
            <w:vAlign w:val="center"/>
          </w:tcPr>
          <w:p>
            <w:pPr>
              <w:ind w:left="-107" w:leftChars="-51" w:right="-76" w:rightChars="-36"/>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0.550</w:t>
            </w:r>
          </w:p>
        </w:tc>
        <w:tc>
          <w:tcPr>
            <w:tcW w:w="2132" w:type="dxa"/>
            <w:vAlign w:val="center"/>
          </w:tcPr>
          <w:p>
            <w:pPr>
              <w:ind w:left="-107" w:leftChars="-51" w:right="-76" w:rightChars="-36"/>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0.583</w:t>
            </w:r>
          </w:p>
        </w:tc>
      </w:tr>
    </w:tbl>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br w:type="page"/>
      </w:r>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监控点与参照点差值</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4"/>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37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376" w:type="dxa"/>
            <w:vMerge w:val="restart"/>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w:t>
            </w:r>
            <w:r>
              <w:rPr>
                <w:rFonts w:hint="eastAsia" w:cs="Times New Roman"/>
                <w:b w:val="0"/>
                <w:bCs w:val="0"/>
                <w:sz w:val="21"/>
                <w:szCs w:val="21"/>
                <w:lang w:eastAsia="zh-CN"/>
              </w:rPr>
              <w:t>限</w:t>
            </w:r>
            <w:r>
              <w:rPr>
                <w:rFonts w:hint="default" w:ascii="Times New Roman" w:hAnsi="Times New Roman" w:eastAsia="宋体" w:cs="Times New Roman"/>
                <w:b w:val="0"/>
                <w:bCs w:val="0"/>
                <w:sz w:val="21"/>
                <w:szCs w:val="21"/>
              </w:rPr>
              <w:t>值</w:t>
            </w:r>
          </w:p>
        </w:tc>
        <w:tc>
          <w:tcPr>
            <w:tcW w:w="1378" w:type="dxa"/>
            <w:vMerge w:val="restart"/>
            <w:vAlign w:val="center"/>
          </w:tcPr>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6"/>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6"/>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376" w:type="dxa"/>
            <w:vMerge w:val="continue"/>
            <w:vAlign w:val="center"/>
          </w:tcPr>
          <w:p>
            <w:pPr>
              <w:pStyle w:val="106"/>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378"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eastAsia" w:cs="Times New Roman"/>
                <w:sz w:val="21"/>
                <w:szCs w:val="21"/>
                <w:lang w:val="en-US" w:eastAsia="zh-CN"/>
              </w:rPr>
            </w:pPr>
            <w:r>
              <w:rPr>
                <w:rFonts w:hint="eastAsia" w:cs="Times New Roman"/>
                <w:sz w:val="21"/>
                <w:szCs w:val="21"/>
                <w:lang w:val="en-US" w:eastAsia="zh-CN"/>
              </w:rPr>
              <w:t>TSP</w:t>
            </w:r>
          </w:p>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r>
              <w:rPr>
                <w:rFonts w:hint="eastAsia" w:cs="Times New Roman"/>
                <w:sz w:val="21"/>
                <w:szCs w:val="21"/>
                <w:lang w:eastAsia="zh-CN"/>
              </w:rPr>
              <w:t>2020.10.28</w:t>
            </w:r>
          </w:p>
        </w:tc>
        <w:tc>
          <w:tcPr>
            <w:tcW w:w="1575" w:type="dxa"/>
            <w:vAlign w:val="center"/>
          </w:tcPr>
          <w:p>
            <w:pPr>
              <w:pStyle w:val="106"/>
              <w:spacing w:line="240" w:lineRule="auto"/>
              <w:ind w:left="-107" w:leftChars="-51" w:right="-122" w:rightChars="-58"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1</w:t>
            </w:r>
            <w:r>
              <w:rPr>
                <w:rFonts w:hint="default" w:ascii="Times New Roman" w:hAnsi="Times New Roman" w:cs="Times New Roman"/>
                <w:spacing w:val="0"/>
                <w:sz w:val="21"/>
                <w:szCs w:val="21"/>
                <w:lang w:val="en-US" w:eastAsia="zh-CN"/>
              </w:rPr>
              <w:t>#</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0.316</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0.334</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0.333</w:t>
            </w:r>
          </w:p>
        </w:tc>
        <w:tc>
          <w:tcPr>
            <w:tcW w:w="1376" w:type="dxa"/>
            <w:vMerge w:val="restart"/>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r>
              <w:rPr>
                <w:rFonts w:hint="eastAsia" w:cs="Times New Roman"/>
                <w:sz w:val="21"/>
                <w:szCs w:val="21"/>
                <w:lang w:val="en-US" w:eastAsia="zh-CN"/>
              </w:rPr>
              <w:t>0.5</w:t>
            </w:r>
          </w:p>
        </w:tc>
        <w:tc>
          <w:tcPr>
            <w:tcW w:w="1378" w:type="dxa"/>
            <w:vAlign w:val="center"/>
          </w:tcPr>
          <w:p>
            <w:pPr>
              <w:pStyle w:val="106"/>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2</w:t>
            </w:r>
            <w:r>
              <w:rPr>
                <w:rFonts w:hint="default" w:ascii="Times New Roman" w:hAnsi="Times New Roman" w:cs="Times New Roman"/>
                <w:spacing w:val="0"/>
                <w:sz w:val="21"/>
                <w:szCs w:val="21"/>
                <w:lang w:val="en-US" w:eastAsia="zh-CN"/>
              </w:rPr>
              <w:t>#</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0.333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0.284</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0.367</w:t>
            </w:r>
          </w:p>
        </w:tc>
        <w:tc>
          <w:tcPr>
            <w:tcW w:w="1376"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378" w:type="dxa"/>
            <w:vAlign w:val="center"/>
          </w:tcPr>
          <w:p>
            <w:pPr>
              <w:pStyle w:val="106"/>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pStyle w:val="106"/>
              <w:spacing w:line="240" w:lineRule="auto"/>
              <w:ind w:left="-107" w:leftChars="-51" w:right="-122" w:rightChars="-58"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3</w:t>
            </w:r>
            <w:r>
              <w:rPr>
                <w:rFonts w:hint="default" w:ascii="Times New Roman" w:hAnsi="Times New Roman" w:cs="Times New Roman"/>
                <w:spacing w:val="0"/>
                <w:sz w:val="21"/>
                <w:szCs w:val="21"/>
                <w:lang w:val="en-US" w:eastAsia="zh-CN"/>
              </w:rPr>
              <w:t>#</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0.316</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0.317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0.300</w:t>
            </w:r>
          </w:p>
        </w:tc>
        <w:tc>
          <w:tcPr>
            <w:tcW w:w="1376"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378"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eastAsia" w:cs="Times New Roman"/>
                <w:sz w:val="21"/>
                <w:szCs w:val="21"/>
                <w:lang w:val="en-US" w:eastAsia="zh-CN"/>
              </w:rPr>
            </w:pPr>
            <w:r>
              <w:rPr>
                <w:rFonts w:hint="eastAsia" w:cs="Times New Roman"/>
                <w:sz w:val="21"/>
                <w:szCs w:val="21"/>
                <w:lang w:val="en-US" w:eastAsia="zh-CN"/>
              </w:rPr>
              <w:t>TSP</w:t>
            </w:r>
          </w:p>
          <w:p>
            <w:pPr>
              <w:pStyle w:val="106"/>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r>
              <w:rPr>
                <w:rFonts w:hint="eastAsia" w:cs="Times New Roman"/>
                <w:sz w:val="21"/>
                <w:szCs w:val="21"/>
                <w:lang w:eastAsia="zh-CN"/>
              </w:rPr>
              <w:t>2020.10.29</w:t>
            </w:r>
          </w:p>
        </w:tc>
        <w:tc>
          <w:tcPr>
            <w:tcW w:w="1575" w:type="dxa"/>
            <w:vAlign w:val="center"/>
          </w:tcPr>
          <w:p>
            <w:pPr>
              <w:pStyle w:val="106"/>
              <w:spacing w:line="240" w:lineRule="auto"/>
              <w:ind w:left="-107" w:leftChars="-51" w:right="-122" w:rightChars="-58"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1</w:t>
            </w:r>
            <w:r>
              <w:rPr>
                <w:rFonts w:hint="default" w:ascii="Times New Roman" w:hAnsi="Times New Roman" w:cs="Times New Roman"/>
                <w:spacing w:val="0"/>
                <w:sz w:val="21"/>
                <w:szCs w:val="21"/>
                <w:lang w:val="en-US" w:eastAsia="zh-CN"/>
              </w:rPr>
              <w:t>#</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0.267</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0.283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0.334</w:t>
            </w:r>
          </w:p>
        </w:tc>
        <w:tc>
          <w:tcPr>
            <w:tcW w:w="1376"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378"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kern w:val="2"/>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2</w:t>
            </w:r>
            <w:r>
              <w:rPr>
                <w:rFonts w:hint="default" w:ascii="Times New Roman" w:hAnsi="Times New Roman" w:cs="Times New Roman"/>
                <w:spacing w:val="0"/>
                <w:sz w:val="21"/>
                <w:szCs w:val="21"/>
                <w:lang w:val="en-US" w:eastAsia="zh-CN"/>
              </w:rPr>
              <w:t>#</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0.300</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0.266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0.350</w:t>
            </w:r>
          </w:p>
        </w:tc>
        <w:tc>
          <w:tcPr>
            <w:tcW w:w="1376"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378"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pStyle w:val="106"/>
              <w:spacing w:line="240" w:lineRule="auto"/>
              <w:ind w:left="-107" w:leftChars="-51" w:right="-122" w:rightChars="-58"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sz w:val="21"/>
                <w:szCs w:val="21"/>
                <w:lang w:val="en-US" w:eastAsia="zh-CN"/>
              </w:rPr>
              <w:t>监控点</w:t>
            </w:r>
            <w:r>
              <w:rPr>
                <w:rFonts w:hint="eastAsia" w:ascii="Times New Roman" w:hAnsi="Times New Roman" w:cs="Times New Roman"/>
                <w:spacing w:val="0"/>
                <w:sz w:val="21"/>
                <w:szCs w:val="21"/>
                <w:lang w:val="en-US" w:eastAsia="zh-CN"/>
              </w:rPr>
              <w:t>3</w:t>
            </w:r>
            <w:r>
              <w:rPr>
                <w:rFonts w:hint="default" w:ascii="Times New Roman" w:hAnsi="Times New Roman" w:cs="Times New Roman"/>
                <w:spacing w:val="0"/>
                <w:sz w:val="21"/>
                <w:szCs w:val="21"/>
                <w:lang w:val="en-US" w:eastAsia="zh-CN"/>
              </w:rPr>
              <w:t>#</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0.317</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0.283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0.350</w:t>
            </w:r>
          </w:p>
        </w:tc>
        <w:tc>
          <w:tcPr>
            <w:tcW w:w="1376" w:type="dxa"/>
            <w:vMerge w:val="continue"/>
            <w:vAlign w:val="center"/>
          </w:tcPr>
          <w:p>
            <w:pPr>
              <w:pStyle w:val="106"/>
              <w:spacing w:line="240" w:lineRule="auto"/>
              <w:ind w:firstLine="0" w:firstLineChars="0"/>
              <w:jc w:val="center"/>
              <w:rPr>
                <w:rFonts w:hint="default" w:ascii="Times New Roman" w:hAnsi="Times New Roman" w:eastAsia="宋体" w:cs="Times New Roman"/>
                <w:sz w:val="21"/>
                <w:szCs w:val="21"/>
              </w:rPr>
            </w:pPr>
          </w:p>
        </w:tc>
        <w:tc>
          <w:tcPr>
            <w:tcW w:w="1378"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51" w:type="dxa"/>
            <w:vAlign w:val="center"/>
          </w:tcPr>
          <w:p>
            <w:pPr>
              <w:pStyle w:val="106"/>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备注</w:t>
            </w:r>
          </w:p>
        </w:tc>
        <w:tc>
          <w:tcPr>
            <w:tcW w:w="7967" w:type="dxa"/>
            <w:gridSpan w:val="6"/>
            <w:vAlign w:val="center"/>
          </w:tcPr>
          <w:p>
            <w:pPr>
              <w:spacing w:line="240" w:lineRule="auto"/>
              <w:ind w:left="-107" w:leftChars="-51" w:right="-76" w:rightChars="-36" w:firstLine="0" w:firstLineChars="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执行《水泥工业大气污染物超低排放标准》（DB13/ 2167-2020）表2大气污染物无组织排放限值</w:t>
            </w:r>
          </w:p>
        </w:tc>
      </w:tr>
    </w:tbl>
    <w:p>
      <w:pPr>
        <w:pStyle w:val="7"/>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5"/>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2020.10.28</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2020.10.29</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北厂界外1m处</w:t>
            </w:r>
            <w:r>
              <w:rPr>
                <w:rFonts w:hint="default" w:ascii="Times New Roman" w:hAnsi="Times New Roman" w:eastAsia="宋体" w:cs="Times New Roman"/>
                <w:sz w:val="21"/>
                <w:szCs w:val="21"/>
              </w:rPr>
              <w:t>（1#）</w:t>
            </w:r>
          </w:p>
        </w:tc>
        <w:tc>
          <w:tcPr>
            <w:tcW w:w="2254"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56.0</w:t>
            </w:r>
          </w:p>
        </w:tc>
        <w:tc>
          <w:tcPr>
            <w:tcW w:w="2255"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56.2</w:t>
            </w:r>
          </w:p>
        </w:tc>
        <w:tc>
          <w:tcPr>
            <w:tcW w:w="1341" w:type="dxa"/>
            <w:vMerge w:val="restart"/>
            <w:vAlign w:val="center"/>
          </w:tcPr>
          <w:p>
            <w:pPr>
              <w:spacing w:line="240" w:lineRule="exact"/>
              <w:jc w:val="center"/>
              <w:rPr>
                <w:rFonts w:hint="default"/>
                <w:lang w:val="en-US"/>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西厂界外1m处</w:t>
            </w:r>
            <w:r>
              <w:rPr>
                <w:rFonts w:hint="default" w:ascii="Times New Roman" w:hAnsi="Times New Roman" w:eastAsia="宋体" w:cs="Times New Roman"/>
                <w:sz w:val="21"/>
                <w:szCs w:val="21"/>
              </w:rPr>
              <w:t>（2#）</w:t>
            </w:r>
          </w:p>
        </w:tc>
        <w:tc>
          <w:tcPr>
            <w:tcW w:w="2254"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58.2</w:t>
            </w:r>
          </w:p>
        </w:tc>
        <w:tc>
          <w:tcPr>
            <w:tcW w:w="2255"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58.6</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南厂界外1m处</w:t>
            </w:r>
            <w:r>
              <w:rPr>
                <w:rFonts w:hint="default" w:ascii="Times New Roman" w:hAnsi="Times New Roman" w:eastAsia="宋体" w:cs="Times New Roman"/>
                <w:sz w:val="21"/>
                <w:szCs w:val="21"/>
              </w:rPr>
              <w:t>（3#）</w:t>
            </w:r>
          </w:p>
        </w:tc>
        <w:tc>
          <w:tcPr>
            <w:tcW w:w="2254"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57.8</w:t>
            </w:r>
          </w:p>
        </w:tc>
        <w:tc>
          <w:tcPr>
            <w:tcW w:w="2255"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57.2</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rPr>
        <w:tc>
          <w:tcPr>
            <w:tcW w:w="240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东厂界外1m处</w:t>
            </w:r>
            <w:r>
              <w:rPr>
                <w:rFonts w:hint="default" w:ascii="Times New Roman" w:hAnsi="Times New Roman" w:eastAsia="宋体" w:cs="Times New Roman"/>
                <w:sz w:val="21"/>
                <w:szCs w:val="21"/>
              </w:rPr>
              <w:t>（4#）</w:t>
            </w:r>
          </w:p>
        </w:tc>
        <w:tc>
          <w:tcPr>
            <w:tcW w:w="2254"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57.5</w:t>
            </w:r>
          </w:p>
        </w:tc>
        <w:tc>
          <w:tcPr>
            <w:tcW w:w="2255"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59.0</w:t>
            </w:r>
          </w:p>
        </w:tc>
        <w:tc>
          <w:tcPr>
            <w:tcW w:w="134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rPr>
              <w:t>昼间：</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2" w:hRule="atLeast"/>
        </w:trPr>
        <w:tc>
          <w:tcPr>
            <w:tcW w:w="2409" w:type="dxa"/>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c>
          <w:tcPr>
            <w:tcW w:w="7085" w:type="dxa"/>
            <w:gridSpan w:val="4"/>
            <w:vAlign w:val="center"/>
          </w:tcPr>
          <w:p>
            <w:pPr>
              <w:spacing w:line="240" w:lineRule="exact"/>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执行</w:t>
            </w:r>
            <w:r>
              <w:rPr>
                <w:rFonts w:hint="default" w:ascii="Times New Roman" w:hAnsi="Times New Roman" w:eastAsia="宋体" w:cs="Times New Roman"/>
                <w:sz w:val="21"/>
                <w:szCs w:val="21"/>
              </w:rPr>
              <w:t>《工业企业厂界环境噪声排放标准》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GB12348-2008</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表1</w:t>
            </w:r>
            <w:r>
              <w:rPr>
                <w:rFonts w:hint="default" w:ascii="Times New Roman" w:hAnsi="Times New Roman" w:eastAsia="宋体" w:cs="Times New Roman"/>
                <w:sz w:val="21"/>
                <w:szCs w:val="21"/>
              </w:rPr>
              <w:t>中</w:t>
            </w: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rPr>
              <w:t>类标准限值要求</w:t>
            </w:r>
          </w:p>
        </w:tc>
      </w:tr>
    </w:tbl>
    <w:p>
      <w:pPr>
        <w:pStyle w:val="6"/>
        <w:keepNext w:val="0"/>
        <w:keepLines w:val="0"/>
        <w:pageBreakBefore w:val="0"/>
        <w:widowControl w:val="0"/>
        <w:kinsoku/>
        <w:wordWrap/>
        <w:overflowPunct/>
        <w:topLinePunct w:val="0"/>
        <w:autoSpaceDE/>
        <w:autoSpaceDN/>
        <w:bidi w:val="0"/>
        <w:adjustRightInd w:val="0"/>
        <w:snapToGrid w:val="0"/>
        <w:spacing w:before="157" w:beforeLines="50" w:line="440" w:lineRule="exact"/>
        <w:textAlignment w:val="auto"/>
        <w:rPr>
          <w:rFonts w:hint="default" w:ascii="Times New Roman" w:hAnsi="Times New Roman" w:cs="Times New Roman"/>
        </w:rPr>
      </w:pPr>
      <w:bookmarkStart w:id="97" w:name="_Toc504325374"/>
      <w:r>
        <w:rPr>
          <w:rFonts w:hint="default" w:ascii="Times New Roman" w:hAnsi="Times New Roman" w:cs="Times New Roman"/>
        </w:rPr>
        <w:t>7.2 检测结果分析</w:t>
      </w:r>
      <w:bookmarkEnd w:id="97"/>
    </w:p>
    <w:p>
      <w:pPr>
        <w:pStyle w:val="7"/>
        <w:keepNext w:val="0"/>
        <w:keepLines w:val="0"/>
        <w:pageBreakBefore w:val="0"/>
        <w:kinsoku/>
        <w:wordWrap/>
        <w:overflowPunct/>
        <w:topLinePunct w:val="0"/>
        <w:autoSpaceDE/>
        <w:autoSpaceDN/>
        <w:bidi w:val="0"/>
        <w:adjustRightInd w:val="0"/>
        <w:snapToGrid w:val="0"/>
        <w:spacing w:line="440" w:lineRule="exact"/>
        <w:ind w:firstLine="480" w:firstLineChars="200"/>
        <w:rPr>
          <w:rFonts w:hint="default" w:ascii="Times New Roman" w:hAnsi="Times New Roman" w:cs="Times New Roman"/>
        </w:rPr>
      </w:pPr>
      <w:bookmarkStart w:id="98" w:name="_Toc497001491"/>
      <w:bookmarkStart w:id="99" w:name="_Toc504325375"/>
      <w:r>
        <w:rPr>
          <w:rFonts w:hint="default" w:ascii="Times New Roman" w:hAnsi="Times New Roman" w:cs="Times New Roman"/>
        </w:rPr>
        <w:t>7.2.1有组织废气检测结果分析</w:t>
      </w:r>
      <w:bookmarkEnd w:id="98"/>
      <w:bookmarkEnd w:id="99"/>
    </w:p>
    <w:p>
      <w:pPr>
        <w:pStyle w:val="106"/>
        <w:keepNext w:val="0"/>
        <w:keepLines w:val="0"/>
        <w:pageBreakBefore w:val="0"/>
        <w:widowControl/>
        <w:kinsoku/>
        <w:wordWrap/>
        <w:overflowPunct/>
        <w:topLinePunct w:val="0"/>
        <w:autoSpaceDE/>
        <w:autoSpaceDN/>
        <w:bidi w:val="0"/>
        <w:adjustRightInd w:val="0"/>
        <w:snapToGrid w:val="0"/>
        <w:spacing w:line="440" w:lineRule="exact"/>
        <w:ind w:left="0" w:leftChars="0" w:right="0" w:rightChars="0" w:firstLine="472" w:firstLineChars="200"/>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bookmarkStart w:id="100" w:name="_Toc6604"/>
      <w:bookmarkStart w:id="101" w:name="_Toc6889"/>
      <w:bookmarkStart w:id="102" w:name="_Toc15284"/>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项目</w:t>
      </w:r>
      <w:r>
        <w:rPr>
          <w:rFonts w:hint="default" w:ascii="Times New Roman" w:hAnsi="Times New Roman" w:eastAsia="宋体" w:cs="Times New Roman"/>
          <w:color w:val="000000" w:themeColor="text1"/>
          <w:spacing w:val="-2"/>
          <w:sz w:val="24"/>
          <w:szCs w:val="24"/>
          <w14:textFill>
            <w14:solidFill>
              <w14:schemeClr w14:val="tx1"/>
            </w14:solidFill>
          </w14:textFill>
        </w:rPr>
        <w:t>废气主要为水泥筒仓、上料、配料、搅拌工序产生的粉尘，废气经</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布袋</w:t>
      </w:r>
      <w:r>
        <w:rPr>
          <w:rFonts w:hint="default" w:ascii="Times New Roman" w:hAnsi="Times New Roman" w:eastAsia="宋体" w:cs="Times New Roman"/>
          <w:color w:val="000000" w:themeColor="text1"/>
          <w:spacing w:val="-2"/>
          <w:sz w:val="24"/>
          <w:szCs w:val="24"/>
          <w14:textFill>
            <w14:solidFill>
              <w14:schemeClr w14:val="tx1"/>
            </w14:solidFill>
          </w14:textFill>
        </w:rPr>
        <w:t>除尘器处理后，经1根15m</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高</w:t>
      </w:r>
      <w:r>
        <w:rPr>
          <w:rFonts w:hint="default" w:ascii="Times New Roman" w:hAnsi="Times New Roman" w:eastAsia="宋体" w:cs="Times New Roman"/>
          <w:color w:val="000000" w:themeColor="text1"/>
          <w:spacing w:val="-2"/>
          <w:sz w:val="24"/>
          <w:szCs w:val="24"/>
          <w14:textFill>
            <w14:solidFill>
              <w14:schemeClr w14:val="tx1"/>
            </w14:solidFill>
          </w14:textFill>
        </w:rPr>
        <w:t>排气筒排放</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pacing w:val="-2"/>
          <w:sz w:val="24"/>
          <w:szCs w:val="24"/>
        </w:rPr>
        <w:t>颗粒物最高排放浓度为</w:t>
      </w:r>
      <w:r>
        <w:rPr>
          <w:rFonts w:hint="default" w:ascii="Times New Roman" w:hAnsi="Times New Roman" w:eastAsia="宋体" w:cs="Times New Roman"/>
          <w:spacing w:val="-2"/>
          <w:sz w:val="24"/>
          <w:szCs w:val="24"/>
          <w:lang w:val="en-US" w:eastAsia="zh-CN"/>
        </w:rPr>
        <w:t>9.</w:t>
      </w:r>
      <w:r>
        <w:rPr>
          <w:rFonts w:hint="eastAsia" w:ascii="Times New Roman" w:hAnsi="Times New Roman" w:eastAsia="宋体" w:cs="Times New Roman"/>
          <w:spacing w:val="-2"/>
          <w:sz w:val="24"/>
          <w:szCs w:val="24"/>
          <w:lang w:val="en-US" w:eastAsia="zh-CN"/>
        </w:rPr>
        <w:t>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w:t>
      </w:r>
      <w:r>
        <w:rPr>
          <w:rFonts w:hint="default" w:ascii="Times New Roman" w:hAnsi="Times New Roman" w:eastAsia="宋体" w:cs="Times New Roman"/>
          <w:spacing w:val="-2"/>
          <w:sz w:val="24"/>
          <w:szCs w:val="24"/>
        </w:rPr>
        <w:t>满足</w:t>
      </w:r>
      <w:r>
        <w:rPr>
          <w:rFonts w:hint="default" w:ascii="Times New Roman" w:hAnsi="Times New Roman" w:cs="Times New Roman"/>
          <w:sz w:val="24"/>
          <w:szCs w:val="24"/>
        </w:rPr>
        <w:t>《水泥工业大气污染物超低排放标准》（DB13/ 2167-2020）表1大气污染物最高允许排放浓度中散装水泥中转站及水泥制品生产排放标准限值</w:t>
      </w:r>
      <w:r>
        <w:rPr>
          <w:rFonts w:hint="default" w:ascii="Times New Roman" w:hAnsi="Times New Roman" w:eastAsia="宋体" w:cs="Times New Roman"/>
          <w:spacing w:val="-2"/>
          <w:sz w:val="24"/>
          <w:szCs w:val="24"/>
        </w:rPr>
        <w:t>（颗粒物：10mg/m</w:t>
      </w:r>
      <w:r>
        <w:rPr>
          <w:rFonts w:hint="default" w:ascii="Times New Roman" w:hAnsi="Times New Roman" w:eastAsia="宋体" w:cs="Times New Roman"/>
          <w:spacing w:val="-2"/>
          <w:sz w:val="24"/>
          <w:szCs w:val="24"/>
          <w:vertAlign w:val="superscript"/>
        </w:rPr>
        <w:t>3</w:t>
      </w:r>
      <w:r>
        <w:rPr>
          <w:rFonts w:hint="default" w:ascii="Times New Roman" w:hAnsi="Times New Roman" w:eastAsia="宋体" w:cs="Times New Roman"/>
          <w:spacing w:val="-2"/>
          <w:sz w:val="24"/>
          <w:szCs w:val="24"/>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w:t>
      </w:r>
    </w:p>
    <w:p>
      <w:pPr>
        <w:pStyle w:val="7"/>
        <w:keepNext w:val="0"/>
        <w:keepLines w:val="0"/>
        <w:pageBreakBefore w:val="0"/>
        <w:kinsoku/>
        <w:wordWrap/>
        <w:overflowPunct/>
        <w:topLinePunct w:val="0"/>
        <w:autoSpaceDE/>
        <w:autoSpaceDN/>
        <w:bidi w:val="0"/>
        <w:adjustRightInd w:val="0"/>
        <w:snapToGrid w:val="0"/>
        <w:spacing w:line="440" w:lineRule="exact"/>
        <w:ind w:firstLine="480" w:firstLineChars="200"/>
        <w:rPr>
          <w:rFonts w:hint="default" w:ascii="Times New Roman" w:hAnsi="Times New Roman" w:cs="Times New Roman"/>
        </w:rPr>
      </w:pPr>
      <w:bookmarkStart w:id="103" w:name="_Toc504325376"/>
      <w:r>
        <w:rPr>
          <w:rFonts w:hint="default" w:ascii="Times New Roman" w:hAnsi="Times New Roman"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ascii="宋体" w:hAnsi="宋体" w:eastAsia="宋体" w:cs="Times New Roman"/>
          <w:sz w:val="24"/>
          <w:szCs w:val="24"/>
        </w:rPr>
        <w:t>无组织</w:t>
      </w:r>
      <w:r>
        <w:rPr>
          <w:rFonts w:hint="eastAsia" w:ascii="宋体" w:hAnsi="宋体" w:eastAsia="宋体" w:cs="Times New Roman"/>
          <w:sz w:val="24"/>
          <w:szCs w:val="24"/>
        </w:rPr>
        <w:t>颗粒物</w:t>
      </w:r>
      <w:r>
        <w:rPr>
          <w:rFonts w:ascii="宋体" w:hAnsi="宋体" w:eastAsia="宋体" w:cs="Times New Roman"/>
          <w:sz w:val="24"/>
          <w:szCs w:val="24"/>
        </w:rPr>
        <w:t>排</w:t>
      </w:r>
      <w:r>
        <w:rPr>
          <w:rFonts w:hint="default" w:ascii="Times New Roman" w:hAnsi="Times New Roman" w:eastAsia="宋体" w:cs="Times New Roman"/>
          <w:sz w:val="24"/>
          <w:szCs w:val="24"/>
        </w:rPr>
        <w:t>放浓度最大差值为0.</w:t>
      </w:r>
      <w:r>
        <w:rPr>
          <w:rFonts w:hint="eastAsia" w:ascii="Times New Roman" w:hAnsi="Times New Roman" w:eastAsia="宋体" w:cs="Times New Roman"/>
          <w:sz w:val="24"/>
          <w:szCs w:val="24"/>
          <w:lang w:val="en-US" w:eastAsia="zh-CN"/>
        </w:rPr>
        <w:t>367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，满足《水泥工业大气污染物超低排放标准》（DB13/ 2167-2020）表2大气污染物无组织排放限值</w:t>
      </w:r>
      <w:r>
        <w:rPr>
          <w:rFonts w:hint="default" w:ascii="Times New Roman" w:hAnsi="Times New Roman" w:eastAsia="宋体" w:cs="Times New Roman"/>
          <w:color w:val="000000" w:themeColor="text1"/>
          <w:sz w:val="24"/>
          <w:szCs w:val="24"/>
          <w14:textFill>
            <w14:solidFill>
              <w14:schemeClr w14:val="tx1"/>
            </w14:solidFill>
          </w14:textFill>
        </w:rPr>
        <w:t>（颗粒物：0.5mg/m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sz w:val="24"/>
          <w:szCs w:val="24"/>
          <w:lang w:val="en-US" w:eastAsia="zh-CN"/>
        </w:rPr>
        <w:t>。</w:t>
      </w:r>
    </w:p>
    <w:p>
      <w:pPr>
        <w:rPr>
          <w:rFonts w:hint="default" w:ascii="Times New Roman" w:hAnsi="Times New Roman" w:cs="Times New Roman"/>
        </w:rPr>
      </w:pPr>
      <w:bookmarkStart w:id="104" w:name="_Toc497001493"/>
      <w:bookmarkStart w:id="105" w:name="_Toc504325377"/>
      <w:r>
        <w:rPr>
          <w:rFonts w:hint="default" w:ascii="Times New Roman" w:hAnsi="Times New Roman" w:cs="Times New Roman"/>
        </w:rPr>
        <w:br w:type="page"/>
      </w:r>
    </w:p>
    <w:p>
      <w:pPr>
        <w:pStyle w:val="7"/>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rPr>
      </w:pPr>
      <w:r>
        <w:rPr>
          <w:rFonts w:hint="default" w:ascii="Times New Roman" w:hAnsi="Times New Roman" w:cs="Times New Roman"/>
        </w:rPr>
        <w:t>7.2.3</w:t>
      </w:r>
      <w:bookmarkEnd w:id="104"/>
      <w:bookmarkStart w:id="106" w:name="_Toc497001494"/>
      <w:r>
        <w:rPr>
          <w:rFonts w:hint="default" w:ascii="Times New Roman" w:hAnsi="Times New Roman"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经检测，该企业</w:t>
      </w:r>
      <w:r>
        <w:rPr>
          <w:rFonts w:hint="eastAsia" w:ascii="Times New Roman" w:hAnsi="Times New Roman" w:eastAsia="宋体" w:cs="Times New Roman"/>
          <w:kern w:val="0"/>
          <w:sz w:val="24"/>
          <w:szCs w:val="24"/>
          <w:lang w:val="en-US" w:eastAsia="zh-CN"/>
        </w:rPr>
        <w:t>北、西、南</w:t>
      </w:r>
      <w:r>
        <w:rPr>
          <w:rFonts w:hint="default" w:ascii="Times New Roman" w:hAnsi="Times New Roman" w:eastAsia="宋体" w:cs="Times New Roman"/>
          <w:kern w:val="0"/>
          <w:sz w:val="24"/>
          <w:szCs w:val="24"/>
        </w:rPr>
        <w:t>厂界昼间噪声值为</w:t>
      </w:r>
      <w:r>
        <w:rPr>
          <w:rFonts w:hint="eastAsia" w:ascii="Times New Roman" w:hAnsi="Times New Roman" w:eastAsia="宋体" w:cs="Times New Roman"/>
          <w:kern w:val="0"/>
          <w:sz w:val="24"/>
          <w:szCs w:val="24"/>
          <w:lang w:val="en-US" w:eastAsia="zh-CN"/>
        </w:rPr>
        <w:t>56.0</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58.6</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12348-2008）中2类标准限值要求（昼间：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东</w:t>
      </w:r>
      <w:r>
        <w:rPr>
          <w:rFonts w:hint="default" w:ascii="Times New Roman" w:hAnsi="Times New Roman" w:eastAsia="宋体" w:cs="Times New Roman"/>
          <w:kern w:val="0"/>
          <w:sz w:val="24"/>
          <w:szCs w:val="24"/>
        </w:rPr>
        <w:t>厂界昼间噪声值为</w:t>
      </w:r>
      <w:r>
        <w:rPr>
          <w:rFonts w:hint="eastAsia" w:ascii="Times New Roman" w:hAnsi="Times New Roman" w:eastAsia="宋体" w:cs="Times New Roman"/>
          <w:kern w:val="0"/>
          <w:sz w:val="24"/>
          <w:szCs w:val="24"/>
          <w:lang w:val="en-US" w:eastAsia="zh-CN"/>
        </w:rPr>
        <w:t>57.5</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59.0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12348-2008）中</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类标准限值要求（昼间：</w:t>
      </w:r>
      <w:r>
        <w:rPr>
          <w:rFonts w:hint="eastAsia" w:ascii="Times New Roman" w:hAnsi="Times New Roman" w:eastAsia="宋体" w:cs="Times New Roman"/>
          <w:kern w:val="0"/>
          <w:sz w:val="24"/>
          <w:szCs w:val="24"/>
          <w:lang w:val="en-US" w:eastAsia="zh-CN"/>
        </w:rPr>
        <w:t>70</w:t>
      </w:r>
      <w:r>
        <w:rPr>
          <w:rFonts w:hint="default" w:ascii="Times New Roman" w:hAnsi="Times New Roman" w:eastAsia="宋体" w:cs="Times New Roman"/>
          <w:kern w:val="0"/>
          <w:sz w:val="24"/>
          <w:szCs w:val="24"/>
        </w:rPr>
        <w:t>dB（A））。</w:t>
      </w:r>
    </w:p>
    <w:p>
      <w:pPr>
        <w:pStyle w:val="6"/>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Times New Roman" w:hAnsi="Times New Roman" w:cs="Times New Roman"/>
        </w:rPr>
      </w:pPr>
      <w:bookmarkStart w:id="107" w:name="_Toc504325378"/>
      <w:r>
        <w:rPr>
          <w:rFonts w:hint="default" w:ascii="Times New Roman" w:hAnsi="Times New Roman" w:cs="Times New Roman"/>
        </w:rPr>
        <w:t>7.3 总量控制要求</w:t>
      </w:r>
      <w:bookmarkEnd w:id="107"/>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项目建议总量控制指标为：化学需氧量：0t/a、氨氮：0t/a、二氧化硫：0t/a、氮氧化物：0t/a、颗粒物：</w:t>
      </w:r>
      <w:r>
        <w:rPr>
          <w:rFonts w:hint="eastAsia" w:ascii="Times New Roman" w:hAnsi="Times New Roman" w:eastAsia="宋体" w:cs="Times New Roman"/>
          <w:sz w:val="24"/>
          <w:szCs w:val="24"/>
          <w:lang w:val="en-US" w:eastAsia="zh-CN"/>
        </w:rPr>
        <w:t>0.504</w:t>
      </w:r>
      <w:r>
        <w:rPr>
          <w:rFonts w:hint="default" w:ascii="Times New Roman" w:hAnsi="Times New Roman" w:eastAsia="宋体" w:cs="Times New Roman"/>
          <w:sz w:val="24"/>
          <w:szCs w:val="24"/>
        </w:rPr>
        <w:t>t/a。</w:t>
      </w:r>
    </w:p>
    <w:p>
      <w:pPr>
        <w:keepNext w:val="0"/>
        <w:keepLines w:val="0"/>
        <w:pageBreakBefore w:val="0"/>
        <w:kinsoku/>
        <w:wordWrap/>
        <w:overflowPunct/>
        <w:topLinePunct w:val="0"/>
        <w:autoSpaceDE/>
        <w:autoSpaceDN/>
        <w:bidi w:val="0"/>
        <w:snapToGrid w:val="0"/>
        <w:spacing w:line="440" w:lineRule="exact"/>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该项目实际排放污染物总量为：化学需氧量：0t/a、氨氮：0t/a、二氧化硫：0t/a、氮氧化物：0t/a、颗粒物：</w:t>
      </w:r>
      <w:r>
        <w:rPr>
          <w:rFonts w:hint="default" w:ascii="Times New Roman" w:hAnsi="Times New Roman" w:eastAsia="宋体" w:cs="Times New Roman"/>
          <w:bCs/>
          <w:sz w:val="24"/>
          <w:szCs w:val="24"/>
        </w:rPr>
        <w:t>0.</w:t>
      </w:r>
      <w:r>
        <w:rPr>
          <w:rFonts w:hint="eastAsia" w:ascii="Times New Roman" w:hAnsi="Times New Roman" w:eastAsia="宋体" w:cs="Times New Roman"/>
          <w:bCs/>
          <w:sz w:val="24"/>
          <w:szCs w:val="24"/>
          <w:lang w:val="en-US" w:eastAsia="zh-CN"/>
        </w:rPr>
        <w:t>163</w:t>
      </w:r>
      <w:r>
        <w:rPr>
          <w:rFonts w:hint="default" w:ascii="Times New Roman" w:hAnsi="Times New Roman" w:eastAsia="宋体" w:cs="Times New Roman"/>
          <w:sz w:val="24"/>
          <w:szCs w:val="24"/>
        </w:rPr>
        <w:t>t/a。符合环评中总量控制要求</w:t>
      </w:r>
      <w:r>
        <w:rPr>
          <w:rFonts w:hint="eastAsia" w:ascii="Times New Roman" w:hAnsi="Times New Roman" w:eastAsia="宋体" w:cs="Times New Roman"/>
          <w:sz w:val="24"/>
          <w:szCs w:val="24"/>
          <w:lang w:eastAsia="zh-CN"/>
        </w:rPr>
        <w:t>。</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6"/>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河间市百名彩砖制造厂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6"/>
        <w:rPr>
          <w:rFonts w:hint="default" w:ascii="Times New Roman" w:hAnsi="Times New Roman" w:cs="Times New Roman"/>
          <w:snapToGrid w:val="0"/>
        </w:rPr>
      </w:pPr>
      <w:bookmarkStart w:id="110" w:name="_Toc412705194"/>
      <w:bookmarkStart w:id="111" w:name="_Toc294178076"/>
      <w:bookmarkStart w:id="112" w:name="_Toc504325381"/>
      <w:r>
        <w:rPr>
          <w:rFonts w:hint="default" w:ascii="Times New Roman" w:hAnsi="Times New Roman" w:cs="Times New Roman"/>
          <w:snapToGrid w:val="0"/>
        </w:rPr>
        <w:t>8.2 施工期环境管理</w:t>
      </w:r>
      <w:bookmarkEnd w:id="110"/>
      <w:bookmarkEnd w:id="111"/>
      <w:bookmarkEnd w:id="112"/>
    </w:p>
    <w:p>
      <w:pPr>
        <w:spacing w:line="480" w:lineRule="atLeast"/>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6"/>
        <w:rPr>
          <w:rFonts w:hint="default" w:ascii="Times New Roman" w:hAnsi="Times New Roman" w:cs="Times New Roman"/>
        </w:rPr>
      </w:pPr>
      <w:bookmarkStart w:id="113" w:name="_Toc294178077"/>
      <w:bookmarkStart w:id="114" w:name="_Toc504325382"/>
      <w:bookmarkStart w:id="115" w:name="_Toc412705195"/>
      <w:r>
        <w:rPr>
          <w:rFonts w:hint="default" w:ascii="Times New Roman" w:hAnsi="Times New Roman" w:cs="Times New Roman"/>
        </w:rPr>
        <w:t>8.3 运行期环境管理</w:t>
      </w:r>
      <w:bookmarkEnd w:id="113"/>
      <w:bookmarkEnd w:id="114"/>
      <w:bookmarkEnd w:id="115"/>
    </w:p>
    <w:p>
      <w:pPr>
        <w:spacing w:line="480" w:lineRule="atLeast"/>
        <w:ind w:firstLine="480" w:firstLineChars="200"/>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eastAsia="zh-CN"/>
        </w:rPr>
        <w:t>河间市百名彩砖制造厂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2705199"/>
      <w:bookmarkStart w:id="118" w:name="_Toc414220604"/>
    </w:p>
    <w:p>
      <w:pPr>
        <w:pStyle w:val="6"/>
        <w:spacing w:line="440" w:lineRule="atLeast"/>
        <w:rPr>
          <w:rFonts w:hint="default" w:ascii="Times New Roman" w:hAnsi="Times New Roman" w:cs="Times New Roman"/>
        </w:rPr>
      </w:pPr>
      <w:bookmarkStart w:id="119" w:name="_Toc504325383"/>
      <w:bookmarkStart w:id="120" w:name="_Toc414220602"/>
      <w:bookmarkStart w:id="121" w:name="_Toc412705196"/>
      <w:r>
        <w:rPr>
          <w:rFonts w:hint="default" w:ascii="Times New Roman" w:hAnsi="Times New Roman" w:cs="Times New Roman"/>
        </w:rPr>
        <w:t>8.4 社会环境影响情况调查</w:t>
      </w:r>
      <w:bookmarkEnd w:id="119"/>
      <w:bookmarkEnd w:id="120"/>
      <w:bookmarkEnd w:id="121"/>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6"/>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6"/>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6"/>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6"/>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default" w:ascii="Times New Roman" w:hAnsi="Times New Roman" w:eastAsia="宋体" w:cs="Times New Roman"/>
          <w:color w:val="000000" w:themeColor="text1"/>
          <w:spacing w:val="-2"/>
          <w:sz w:val="24"/>
          <w:lang w:val="en-US"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企业</w:t>
      </w:r>
      <w:r>
        <w:rPr>
          <w:rFonts w:hint="default" w:ascii="Times New Roman" w:hAnsi="Times New Roman" w:eastAsia="宋体" w:cs="Times New Roman"/>
          <w:color w:val="000000" w:themeColor="text1"/>
          <w:spacing w:val="-2"/>
          <w:sz w:val="24"/>
          <w:szCs w:val="24"/>
          <w14:textFill>
            <w14:solidFill>
              <w14:schemeClr w14:val="tx1"/>
            </w14:solidFill>
          </w14:textFill>
        </w:rPr>
        <w:t>废气主要为水泥筒仓、上料、配料、搅拌工序产生的粉尘，废气经</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布袋</w:t>
      </w:r>
      <w:r>
        <w:rPr>
          <w:rFonts w:hint="default" w:ascii="Times New Roman" w:hAnsi="Times New Roman" w:eastAsia="宋体" w:cs="Times New Roman"/>
          <w:color w:val="000000" w:themeColor="text1"/>
          <w:spacing w:val="-2"/>
          <w:sz w:val="24"/>
          <w:szCs w:val="24"/>
          <w14:textFill>
            <w14:solidFill>
              <w14:schemeClr w14:val="tx1"/>
            </w14:solidFill>
          </w14:textFill>
        </w:rPr>
        <w:t>除尘器处理后，经1根15m</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高</w:t>
      </w:r>
      <w:r>
        <w:rPr>
          <w:rFonts w:hint="default" w:ascii="Times New Roman" w:hAnsi="Times New Roman" w:eastAsia="宋体" w:cs="Times New Roman"/>
          <w:color w:val="000000" w:themeColor="text1"/>
          <w:spacing w:val="-2"/>
          <w:sz w:val="24"/>
          <w:szCs w:val="24"/>
          <w14:textFill>
            <w14:solidFill>
              <w14:schemeClr w14:val="tx1"/>
            </w14:solidFill>
          </w14:textFill>
        </w:rPr>
        <w:t>排气筒排放</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pacing w:val="-2"/>
          <w:sz w:val="24"/>
          <w:szCs w:val="24"/>
        </w:rPr>
        <w:t>颗粒物最高排放浓度为</w:t>
      </w:r>
      <w:r>
        <w:rPr>
          <w:rFonts w:hint="default" w:ascii="Times New Roman" w:hAnsi="Times New Roman" w:eastAsia="宋体" w:cs="Times New Roman"/>
          <w:spacing w:val="-2"/>
          <w:sz w:val="24"/>
          <w:szCs w:val="24"/>
          <w:lang w:val="en-US" w:eastAsia="zh-CN"/>
        </w:rPr>
        <w:t>9.</w:t>
      </w:r>
      <w:r>
        <w:rPr>
          <w:rFonts w:hint="eastAsia" w:ascii="Times New Roman" w:hAnsi="Times New Roman" w:eastAsia="宋体" w:cs="Times New Roman"/>
          <w:spacing w:val="-2"/>
          <w:sz w:val="24"/>
          <w:szCs w:val="24"/>
          <w:lang w:val="en-US" w:eastAsia="zh-CN"/>
        </w:rPr>
        <w:t>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w:t>
      </w:r>
      <w:r>
        <w:rPr>
          <w:rFonts w:hint="default" w:ascii="Times New Roman" w:hAnsi="Times New Roman" w:eastAsia="宋体" w:cs="Times New Roman"/>
          <w:spacing w:val="-2"/>
          <w:sz w:val="24"/>
          <w:szCs w:val="24"/>
        </w:rPr>
        <w:t>满足</w:t>
      </w:r>
      <w:r>
        <w:rPr>
          <w:rFonts w:hint="default" w:ascii="Times New Roman" w:hAnsi="Times New Roman" w:cs="Times New Roman"/>
          <w:sz w:val="24"/>
          <w:szCs w:val="24"/>
        </w:rPr>
        <w:t>《水泥工业大气污染物超低排放标准》（DB13/ 2167-2020）表1大气污染物最高允许排放浓度中散装水泥中转站及水泥制品生产排放标准限值</w:t>
      </w:r>
      <w:r>
        <w:rPr>
          <w:rFonts w:hint="default" w:ascii="Times New Roman" w:hAnsi="Times New Roman" w:eastAsia="宋体" w:cs="Times New Roman"/>
          <w:spacing w:val="-2"/>
          <w:sz w:val="24"/>
          <w:szCs w:val="24"/>
        </w:rPr>
        <w:t>（颗粒物：10mg/m</w:t>
      </w:r>
      <w:r>
        <w:rPr>
          <w:rFonts w:hint="default" w:ascii="Times New Roman" w:hAnsi="Times New Roman" w:eastAsia="宋体" w:cs="Times New Roman"/>
          <w:spacing w:val="-2"/>
          <w:sz w:val="24"/>
          <w:szCs w:val="24"/>
          <w:vertAlign w:val="superscript"/>
        </w:rPr>
        <w:t>3</w:t>
      </w:r>
      <w:r>
        <w:rPr>
          <w:rFonts w:hint="default" w:ascii="Times New Roman" w:hAnsi="Times New Roman" w:eastAsia="宋体" w:cs="Times New Roman"/>
          <w:spacing w:val="-2"/>
          <w:sz w:val="24"/>
          <w:szCs w:val="24"/>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经检测，无组织颗粒物排放浓度最大差值为0.</w:t>
      </w:r>
      <w:r>
        <w:rPr>
          <w:rFonts w:hint="eastAsia" w:ascii="Times New Roman" w:hAnsi="Times New Roman" w:eastAsia="宋体" w:cs="Times New Roman"/>
          <w:sz w:val="24"/>
          <w:szCs w:val="24"/>
          <w:lang w:val="en-US" w:eastAsia="zh-CN"/>
        </w:rPr>
        <w:t>367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，满足《水泥工业大气污染物超低排放标准》（DB13/ 2167-2020）表2大气污染物无组织排放限值</w:t>
      </w:r>
      <w:r>
        <w:rPr>
          <w:rFonts w:hint="default" w:ascii="Times New Roman" w:hAnsi="Times New Roman" w:eastAsia="宋体" w:cs="Times New Roman"/>
          <w:color w:val="000000" w:themeColor="text1"/>
          <w:sz w:val="24"/>
          <w:szCs w:val="24"/>
          <w14:textFill>
            <w14:solidFill>
              <w14:schemeClr w14:val="tx1"/>
            </w14:solidFill>
          </w14:textFill>
        </w:rPr>
        <w:t>（颗粒物：0.5mg/m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sz w:val="24"/>
          <w:szCs w:val="24"/>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经检测，该企业</w:t>
      </w:r>
      <w:r>
        <w:rPr>
          <w:rFonts w:hint="eastAsia" w:ascii="Times New Roman" w:hAnsi="Times New Roman" w:eastAsia="宋体" w:cs="Times New Roman"/>
          <w:kern w:val="0"/>
          <w:sz w:val="24"/>
          <w:szCs w:val="24"/>
          <w:lang w:val="en-US" w:eastAsia="zh-CN"/>
        </w:rPr>
        <w:t>北、西、南</w:t>
      </w:r>
      <w:r>
        <w:rPr>
          <w:rFonts w:hint="default" w:ascii="Times New Roman" w:hAnsi="Times New Roman" w:eastAsia="宋体" w:cs="Times New Roman"/>
          <w:kern w:val="0"/>
          <w:sz w:val="24"/>
          <w:szCs w:val="24"/>
        </w:rPr>
        <w:t>厂界昼间噪声值为</w:t>
      </w:r>
      <w:r>
        <w:rPr>
          <w:rFonts w:hint="eastAsia" w:ascii="Times New Roman" w:hAnsi="Times New Roman" w:eastAsia="宋体" w:cs="Times New Roman"/>
          <w:kern w:val="0"/>
          <w:sz w:val="24"/>
          <w:szCs w:val="24"/>
          <w:lang w:val="en-US" w:eastAsia="zh-CN"/>
        </w:rPr>
        <w:t>56.0</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58.6</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12348-2008）中2类标准限值要求（昼间：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东</w:t>
      </w:r>
      <w:r>
        <w:rPr>
          <w:rFonts w:hint="default" w:ascii="Times New Roman" w:hAnsi="Times New Roman" w:eastAsia="宋体" w:cs="Times New Roman"/>
          <w:kern w:val="0"/>
          <w:sz w:val="24"/>
          <w:szCs w:val="24"/>
        </w:rPr>
        <w:t>厂界昼间噪声值为</w:t>
      </w:r>
      <w:r>
        <w:rPr>
          <w:rFonts w:hint="eastAsia" w:ascii="Times New Roman" w:hAnsi="Times New Roman" w:eastAsia="宋体" w:cs="Times New Roman"/>
          <w:kern w:val="0"/>
          <w:sz w:val="24"/>
          <w:szCs w:val="24"/>
          <w:lang w:val="en-US" w:eastAsia="zh-CN"/>
        </w:rPr>
        <w:t>57.5</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59.0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12348-2008）中</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类标准限值要求（昼间：</w:t>
      </w:r>
      <w:r>
        <w:rPr>
          <w:rFonts w:hint="eastAsia" w:ascii="Times New Roman" w:hAnsi="Times New Roman" w:eastAsia="宋体" w:cs="Times New Roman"/>
          <w:kern w:val="0"/>
          <w:sz w:val="24"/>
          <w:szCs w:val="24"/>
          <w:lang w:val="en-US" w:eastAsia="zh-CN"/>
        </w:rPr>
        <w:t>70</w:t>
      </w:r>
      <w:r>
        <w:rPr>
          <w:rFonts w:hint="default" w:ascii="Times New Roman" w:hAnsi="Times New Roman" w:eastAsia="宋体" w:cs="Times New Roman"/>
          <w:kern w:val="0"/>
          <w:sz w:val="24"/>
          <w:szCs w:val="24"/>
        </w:rPr>
        <w:t>dB（A））。</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项目运营期不产生生产废水，废水主要为员工生活污水，排水水量少，水质简单，用于厂内泼洒抑尘，厂内设防渗旱厕，定期清掏用作农肥</w:t>
      </w:r>
      <w:r>
        <w:rPr>
          <w:rFonts w:hint="default" w:ascii="Times New Roman" w:hAnsi="Times New Roman" w:eastAsia="宋体" w:cs="Times New Roman"/>
          <w:sz w:val="24"/>
          <w:szCs w:val="24"/>
        </w:rPr>
        <w:t>。</w:t>
      </w:r>
    </w:p>
    <w:p>
      <w:pPr>
        <w:pStyle w:val="106"/>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7"/>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项目产生的固体废物主要为不合格产品、除尘灰。</w:t>
      </w:r>
    </w:p>
    <w:p>
      <w:pPr>
        <w:pStyle w:val="87"/>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不合格产品：集中收集后，由环卫部门统一处理；</w:t>
      </w:r>
    </w:p>
    <w:p>
      <w:pPr>
        <w:pStyle w:val="87"/>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除尘灰：收集后回用于生产，不外排</w:t>
      </w:r>
      <w:r>
        <w:rPr>
          <w:rFonts w:hint="default" w:ascii="Times New Roman" w:hAnsi="Times New Roman" w:cs="Times New Roman"/>
          <w:color w:val="auto"/>
          <w:sz w:val="24"/>
          <w:szCs w:val="24"/>
        </w:rPr>
        <w:t>。</w:t>
      </w:r>
    </w:p>
    <w:p>
      <w:pPr>
        <w:pStyle w:val="106"/>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项目建议总量控制指标为：化学需氧量：0t/a、氨氮：0t/a、二氧化硫：0t/a、氮氧化物：0t/a、颗粒物：0.504t/a。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该项目实际排放污染物总量为：化学需氧量：0t/a、氨氮：0t/a、二氧化硫：0t/a、氮氧化物：0t/a、颗粒物：0.</w:t>
      </w:r>
      <w:r>
        <w:rPr>
          <w:rFonts w:hint="eastAsia" w:ascii="Times New Roman" w:hAnsi="Times New Roman" w:eastAsia="宋体" w:cs="Times New Roman"/>
          <w:sz w:val="24"/>
          <w:szCs w:val="24"/>
          <w:lang w:val="en-US" w:eastAsia="zh-CN"/>
        </w:rPr>
        <w:t>163</w:t>
      </w:r>
      <w:r>
        <w:rPr>
          <w:rFonts w:hint="default" w:ascii="Times New Roman" w:hAnsi="Times New Roman" w:eastAsia="宋体" w:cs="Times New Roman"/>
          <w:sz w:val="24"/>
          <w:szCs w:val="24"/>
          <w:lang w:eastAsia="zh-CN"/>
        </w:rPr>
        <w:t>t/a。符合环评中总量控制要求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6"/>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1503939584" behindDoc="0" locked="0" layoutInCell="1" allowOverlap="1">
            <wp:simplePos x="0" y="0"/>
            <wp:positionH relativeFrom="column">
              <wp:posOffset>-1431925</wp:posOffset>
            </wp:positionH>
            <wp:positionV relativeFrom="paragraph">
              <wp:posOffset>1784985</wp:posOffset>
            </wp:positionV>
            <wp:extent cx="8639810" cy="5760085"/>
            <wp:effectExtent l="0" t="0" r="12065" b="8890"/>
            <wp:wrapNone/>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3"/>
                    <a:stretch>
                      <a:fillRect/>
                    </a:stretch>
                  </pic:blipFill>
                  <pic:spPr>
                    <a:xfrm rot="16200000">
                      <a:off x="0" y="0"/>
                      <a:ext cx="8639810" cy="5760085"/>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1503940608" behindDoc="0" locked="0" layoutInCell="1" allowOverlap="1">
            <wp:simplePos x="0" y="0"/>
            <wp:positionH relativeFrom="column">
              <wp:posOffset>-1337310</wp:posOffset>
            </wp:positionH>
            <wp:positionV relativeFrom="paragraph">
              <wp:posOffset>1790065</wp:posOffset>
            </wp:positionV>
            <wp:extent cx="8639810" cy="5760085"/>
            <wp:effectExtent l="0" t="0" r="12065" b="8890"/>
            <wp:wrapNone/>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14"/>
                    <a:stretch>
                      <a:fillRect/>
                    </a:stretch>
                  </pic:blipFill>
                  <pic:spPr>
                    <a:xfrm rot="16200000">
                      <a:off x="0" y="0"/>
                      <a:ext cx="8639810" cy="5760085"/>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1503941632" behindDoc="0" locked="0" layoutInCell="1" allowOverlap="1">
            <wp:simplePos x="0" y="0"/>
            <wp:positionH relativeFrom="column">
              <wp:posOffset>997585</wp:posOffset>
            </wp:positionH>
            <wp:positionV relativeFrom="paragraph">
              <wp:posOffset>95250</wp:posOffset>
            </wp:positionV>
            <wp:extent cx="4133850" cy="7048500"/>
            <wp:effectExtent l="0" t="0" r="0" b="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4133850" cy="704850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ascii="黑体" w:eastAsia="黑体"/>
          <w:bCs/>
          <w:sz w:val="32"/>
          <w:szCs w:val="32"/>
          <w:lang w:eastAsia="zh-CN"/>
        </w:rPr>
        <w:drawing>
          <wp:anchor distT="0" distB="0" distL="114300" distR="114300" simplePos="0" relativeHeight="1503942656" behindDoc="0" locked="0" layoutInCell="1" allowOverlap="1">
            <wp:simplePos x="0" y="0"/>
            <wp:positionH relativeFrom="column">
              <wp:posOffset>-155575</wp:posOffset>
            </wp:positionH>
            <wp:positionV relativeFrom="paragraph">
              <wp:posOffset>66040</wp:posOffset>
            </wp:positionV>
            <wp:extent cx="6480175" cy="8639810"/>
            <wp:effectExtent l="0" t="0" r="15875" b="8890"/>
            <wp:wrapNone/>
            <wp:docPr id="6" name="图片 6" descr="e1168a041471fd2fd96a2534a0cc2ae"/>
            <wp:cNvGraphicFramePr/>
            <a:graphic xmlns:a="http://schemas.openxmlformats.org/drawingml/2006/main">
              <a:graphicData uri="http://schemas.openxmlformats.org/drawingml/2006/picture">
                <pic:pic xmlns:pic="http://schemas.openxmlformats.org/drawingml/2006/picture">
                  <pic:nvPicPr>
                    <pic:cNvPr id="6" name="图片 6" descr="e1168a041471fd2fd96a2534a0cc2ae"/>
                    <pic:cNvPicPr/>
                  </pic:nvPicPr>
                  <pic:blipFill>
                    <a:blip r:embed="rId16"/>
                    <a:srcRect t="8094" b="10389"/>
                    <a:stretch>
                      <a:fillRect/>
                    </a:stretch>
                  </pic:blipFill>
                  <pic:spPr>
                    <a:xfrm>
                      <a:off x="0" y="0"/>
                      <a:ext cx="6480175" cy="863981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1503943680" behindDoc="0" locked="0" layoutInCell="1" allowOverlap="1">
            <wp:simplePos x="0" y="0"/>
            <wp:positionH relativeFrom="column">
              <wp:posOffset>-1288415</wp:posOffset>
            </wp:positionH>
            <wp:positionV relativeFrom="paragraph">
              <wp:posOffset>1440180</wp:posOffset>
            </wp:positionV>
            <wp:extent cx="8639810" cy="6480175"/>
            <wp:effectExtent l="0" t="0" r="15875" b="8890"/>
            <wp:wrapNone/>
            <wp:docPr id="14" name="图片 14" descr="附件4 营业执照"/>
            <wp:cNvGraphicFramePr/>
            <a:graphic xmlns:a="http://schemas.openxmlformats.org/drawingml/2006/main">
              <a:graphicData uri="http://schemas.openxmlformats.org/drawingml/2006/picture">
                <pic:pic xmlns:pic="http://schemas.openxmlformats.org/drawingml/2006/picture">
                  <pic:nvPicPr>
                    <pic:cNvPr id="14" name="图片 14" descr="附件4 营业执照"/>
                    <pic:cNvPicPr/>
                  </pic:nvPicPr>
                  <pic:blipFill>
                    <a:blip r:embed="rId17"/>
                    <a:stretch>
                      <a:fillRect/>
                    </a:stretch>
                  </pic:blipFill>
                  <pic:spPr>
                    <a:xfrm rot="16200000">
                      <a:off x="0" y="0"/>
                      <a:ext cx="8639810" cy="6480175"/>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pStyle w:val="2"/>
        <w:jc w:val="center"/>
        <w:rPr>
          <w:rFonts w:hint="default" w:ascii="Times New Roman" w:hAnsi="Times New Roman" w:eastAsia="宋体" w:cs="Times New Roman"/>
          <w:b/>
          <w:sz w:val="30"/>
          <w:szCs w:val="30"/>
          <w:lang w:eastAsia="zh-CN"/>
        </w:rPr>
      </w:pPr>
    </w:p>
    <w:p>
      <w:pPr>
        <w:jc w:val="center"/>
        <w:rPr>
          <w:rFonts w:hint="default" w:ascii="Times New Roman" w:hAnsi="Times New Roman" w:eastAsia="宋体" w:cs="Times New Roman"/>
          <w:b/>
          <w:sz w:val="30"/>
          <w:szCs w:val="30"/>
          <w:lang w:eastAsia="zh-CN"/>
        </w:rPr>
      </w:pPr>
    </w:p>
    <w:p>
      <w:pPr>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河间市百名彩砖制造厂</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5"/>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混凝土实心砖新建项目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河间市北石槽乡满堂村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C3021水泥制品制造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77574656" behindDoc="0" locked="0" layoutInCell="1" allowOverlap="1">
                      <wp:simplePos x="0" y="0"/>
                      <wp:positionH relativeFrom="column">
                        <wp:posOffset>1508125</wp:posOffset>
                      </wp:positionH>
                      <wp:positionV relativeFrom="paragraph">
                        <wp:posOffset>53975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8.75pt;margin-top:4.25pt;height:5.6pt;width:5.25pt;z-index:277574656;v-text-anchor:middle;mso-width-relative:page;mso-height-relative:page;" fillcolor="#000000 [3213]" filled="t" stroked="t" coordsize="21600,21600" o:gfxdata="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P0nq2QAAAAgBAAAPAAAAAAAAAAEAIAAAACIAAABkcnMvZG93bnJldi54bWxQSwECFAAUAAAACACH&#10;TuJAk/MAdeoBAADoAwAADgAAAAAAAAABACAAAAAoAQAAZHJzL2Uyb0RvYy54bWxQSwUGAAAAAAYA&#10;BgBZAQAAhA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77572608"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77572608;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SLAFdUAAAAIAQAADwAAAAAAAAABACAAAAAiAAAAZHJzL2Rvd25yZXYueG1sUEsBAhQAFAAAAAgA&#10;h07iQB27annvAQAA5wMAAA4AAAAAAAAAAQAgAAAAJAEAAGRycy9lMm9Eb2MueG1sUEsFBgAAAAAG&#10;AAYAWQEAAIU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77573632" behindDoc="0" locked="0" layoutInCell="1" allowOverlap="1">
                      <wp:simplePos x="0" y="0"/>
                      <wp:positionH relativeFrom="column">
                        <wp:posOffset>2288540</wp:posOffset>
                      </wp:positionH>
                      <wp:positionV relativeFrom="paragraph">
                        <wp:posOffset>53975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80.2pt;margin-top:4.25pt;height:5.6pt;width:5.25pt;z-index:277573632;v-text-anchor:middle;mso-width-relative:page;mso-height-relative:page;" fillcolor="#FFFFFF [3212]" filled="t" stroked="t" coordsize="21600,21600" o:gfxdata="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Z0nD1gAAAAgBAAAPAAAAAAAAAAEAIAAAACIAAABkcnMvZG93bnJldi54bWxQSwECFAAUAAAA&#10;CACHTuJA3u3BOvABAADnAwAADgAAAAAAAAABACAAAAAlAQAAZHJzL2Uyb0RvYy54bWxQSwUGAAAA&#10;AAYABgBZAQAAhw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年产混凝土实心砖5000万标块</w:t>
            </w:r>
          </w:p>
        </w:tc>
        <w:tc>
          <w:tcPr>
            <w:tcW w:w="1789"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年产混凝土实心砖5000万标块</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河北韵楷环境科技有限公司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河环表[2020]（10-22）号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7</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7</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河间市百名彩砖制造厂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92130984MA0E78CG79</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1876</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1876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9.2</w:t>
            </w:r>
          </w:p>
        </w:tc>
        <w:tc>
          <w:tcPr>
            <w:tcW w:w="1134" w:type="dxa"/>
            <w:gridSpan w:val="2"/>
            <w:vAlign w:val="center"/>
          </w:tcPr>
          <w:p>
            <w:pPr>
              <w:pStyle w:val="121"/>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0.163</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0.163</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1"/>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3"/>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3"/>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ascii="Times New Roman" w:hAnsi="Times New Roman" w:eastAsia="宋体" w:cs="Times New Roman"/>
        <w:color w:val="000000"/>
        <w:szCs w:val="21"/>
        <w:lang w:eastAsia="zh-CN"/>
      </w:rPr>
      <w:t>河间市百名彩砖制造厂混凝土实心砖新建项目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B30A4"/>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19EE"/>
    <w:rsid w:val="00A22624"/>
    <w:rsid w:val="00A258C9"/>
    <w:rsid w:val="00A27105"/>
    <w:rsid w:val="00A36AF7"/>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F30"/>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126CBD"/>
    <w:rsid w:val="011528A0"/>
    <w:rsid w:val="01195402"/>
    <w:rsid w:val="01236143"/>
    <w:rsid w:val="01313E5D"/>
    <w:rsid w:val="01341E98"/>
    <w:rsid w:val="013C07B0"/>
    <w:rsid w:val="01576250"/>
    <w:rsid w:val="015A2643"/>
    <w:rsid w:val="015B79DE"/>
    <w:rsid w:val="0162331C"/>
    <w:rsid w:val="016A7844"/>
    <w:rsid w:val="01812F3D"/>
    <w:rsid w:val="018238FA"/>
    <w:rsid w:val="018B1EFE"/>
    <w:rsid w:val="018B242B"/>
    <w:rsid w:val="019520E7"/>
    <w:rsid w:val="019D0C30"/>
    <w:rsid w:val="01A164D1"/>
    <w:rsid w:val="01CE6B64"/>
    <w:rsid w:val="01F51573"/>
    <w:rsid w:val="02203AE0"/>
    <w:rsid w:val="02276739"/>
    <w:rsid w:val="022C2D3C"/>
    <w:rsid w:val="024B2110"/>
    <w:rsid w:val="024E40DD"/>
    <w:rsid w:val="025231E4"/>
    <w:rsid w:val="025B2211"/>
    <w:rsid w:val="026607DA"/>
    <w:rsid w:val="02677759"/>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1F5F68"/>
    <w:rsid w:val="042B13A8"/>
    <w:rsid w:val="0437736B"/>
    <w:rsid w:val="043B0D19"/>
    <w:rsid w:val="04506D30"/>
    <w:rsid w:val="045365C5"/>
    <w:rsid w:val="04856184"/>
    <w:rsid w:val="04900381"/>
    <w:rsid w:val="04940877"/>
    <w:rsid w:val="04A128A5"/>
    <w:rsid w:val="04B41563"/>
    <w:rsid w:val="04B64A53"/>
    <w:rsid w:val="04CA32CB"/>
    <w:rsid w:val="04D44F5D"/>
    <w:rsid w:val="04DD0E5B"/>
    <w:rsid w:val="04F142A9"/>
    <w:rsid w:val="05166222"/>
    <w:rsid w:val="052C2D5A"/>
    <w:rsid w:val="052C30DA"/>
    <w:rsid w:val="053366D8"/>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63F69"/>
    <w:rsid w:val="065B577F"/>
    <w:rsid w:val="06730DC7"/>
    <w:rsid w:val="067E40C3"/>
    <w:rsid w:val="06897DEA"/>
    <w:rsid w:val="068E61E3"/>
    <w:rsid w:val="069A19C6"/>
    <w:rsid w:val="069D7E7F"/>
    <w:rsid w:val="06A10933"/>
    <w:rsid w:val="06B06A51"/>
    <w:rsid w:val="06C360CA"/>
    <w:rsid w:val="06DE54C3"/>
    <w:rsid w:val="06ED1005"/>
    <w:rsid w:val="06F04E23"/>
    <w:rsid w:val="06F1352C"/>
    <w:rsid w:val="06F8156A"/>
    <w:rsid w:val="06FA0A90"/>
    <w:rsid w:val="06FC0B78"/>
    <w:rsid w:val="070709A8"/>
    <w:rsid w:val="07072D42"/>
    <w:rsid w:val="071A198F"/>
    <w:rsid w:val="072E0A4F"/>
    <w:rsid w:val="0731355F"/>
    <w:rsid w:val="073A1EC1"/>
    <w:rsid w:val="073B3EC5"/>
    <w:rsid w:val="07416A9F"/>
    <w:rsid w:val="07433586"/>
    <w:rsid w:val="07443518"/>
    <w:rsid w:val="076E3C64"/>
    <w:rsid w:val="076F525B"/>
    <w:rsid w:val="07702FE3"/>
    <w:rsid w:val="07791296"/>
    <w:rsid w:val="07831F5C"/>
    <w:rsid w:val="079646FD"/>
    <w:rsid w:val="07B14745"/>
    <w:rsid w:val="07BF60E4"/>
    <w:rsid w:val="07C14AB3"/>
    <w:rsid w:val="07CF4FAD"/>
    <w:rsid w:val="07D252A5"/>
    <w:rsid w:val="07D90353"/>
    <w:rsid w:val="081B0E86"/>
    <w:rsid w:val="082F650C"/>
    <w:rsid w:val="08377E3D"/>
    <w:rsid w:val="083E2027"/>
    <w:rsid w:val="08491F9B"/>
    <w:rsid w:val="084A7310"/>
    <w:rsid w:val="08542C8A"/>
    <w:rsid w:val="085A551E"/>
    <w:rsid w:val="08620A8E"/>
    <w:rsid w:val="08687413"/>
    <w:rsid w:val="08726894"/>
    <w:rsid w:val="08773FBC"/>
    <w:rsid w:val="087B2571"/>
    <w:rsid w:val="08980B3C"/>
    <w:rsid w:val="089D027B"/>
    <w:rsid w:val="08A277A3"/>
    <w:rsid w:val="08A72667"/>
    <w:rsid w:val="08B24BCC"/>
    <w:rsid w:val="08B42622"/>
    <w:rsid w:val="08B651D3"/>
    <w:rsid w:val="090A316C"/>
    <w:rsid w:val="090C62F6"/>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731799"/>
    <w:rsid w:val="098039B6"/>
    <w:rsid w:val="09867AAE"/>
    <w:rsid w:val="098C57B3"/>
    <w:rsid w:val="099755D7"/>
    <w:rsid w:val="09A77D65"/>
    <w:rsid w:val="09B53B18"/>
    <w:rsid w:val="09C74361"/>
    <w:rsid w:val="09D66572"/>
    <w:rsid w:val="09DF0D92"/>
    <w:rsid w:val="0A0119DF"/>
    <w:rsid w:val="0A057EED"/>
    <w:rsid w:val="0A097800"/>
    <w:rsid w:val="0A234C5B"/>
    <w:rsid w:val="0A4F5910"/>
    <w:rsid w:val="0A564A2A"/>
    <w:rsid w:val="0A5D3C7E"/>
    <w:rsid w:val="0A932372"/>
    <w:rsid w:val="0A983632"/>
    <w:rsid w:val="0AA226C7"/>
    <w:rsid w:val="0AAC6066"/>
    <w:rsid w:val="0AB6429A"/>
    <w:rsid w:val="0ABC4635"/>
    <w:rsid w:val="0AC56097"/>
    <w:rsid w:val="0AE01397"/>
    <w:rsid w:val="0AE34D2F"/>
    <w:rsid w:val="0AED16F1"/>
    <w:rsid w:val="0AEF24BA"/>
    <w:rsid w:val="0AFF7B9C"/>
    <w:rsid w:val="0B02189B"/>
    <w:rsid w:val="0B0B11CA"/>
    <w:rsid w:val="0B200669"/>
    <w:rsid w:val="0B252981"/>
    <w:rsid w:val="0B2832AE"/>
    <w:rsid w:val="0B3214F5"/>
    <w:rsid w:val="0B3A0FEC"/>
    <w:rsid w:val="0B443897"/>
    <w:rsid w:val="0B483380"/>
    <w:rsid w:val="0B504CA2"/>
    <w:rsid w:val="0B5713C2"/>
    <w:rsid w:val="0B5938F2"/>
    <w:rsid w:val="0B601F91"/>
    <w:rsid w:val="0B630F4E"/>
    <w:rsid w:val="0B6A4CCC"/>
    <w:rsid w:val="0B6F4CC3"/>
    <w:rsid w:val="0B7D2AFC"/>
    <w:rsid w:val="0B7E3CF7"/>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20A8C"/>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B22A9F"/>
    <w:rsid w:val="0CBA59D4"/>
    <w:rsid w:val="0CC422C7"/>
    <w:rsid w:val="0CDF727F"/>
    <w:rsid w:val="0CFE7CDC"/>
    <w:rsid w:val="0D01646A"/>
    <w:rsid w:val="0D120A11"/>
    <w:rsid w:val="0D253AE2"/>
    <w:rsid w:val="0D337ADA"/>
    <w:rsid w:val="0D5C7FE9"/>
    <w:rsid w:val="0D601367"/>
    <w:rsid w:val="0D66759B"/>
    <w:rsid w:val="0D6A6B91"/>
    <w:rsid w:val="0D77295D"/>
    <w:rsid w:val="0D9A59CC"/>
    <w:rsid w:val="0DE35E13"/>
    <w:rsid w:val="0DF137CC"/>
    <w:rsid w:val="0DF909C9"/>
    <w:rsid w:val="0DFF3202"/>
    <w:rsid w:val="0E027F38"/>
    <w:rsid w:val="0E062CE2"/>
    <w:rsid w:val="0E0C7F99"/>
    <w:rsid w:val="0E0D4BE9"/>
    <w:rsid w:val="0E1813C1"/>
    <w:rsid w:val="0E3C16E1"/>
    <w:rsid w:val="0E4A7961"/>
    <w:rsid w:val="0E5B0CC5"/>
    <w:rsid w:val="0E650064"/>
    <w:rsid w:val="0E7405B8"/>
    <w:rsid w:val="0E7C54C8"/>
    <w:rsid w:val="0EA7332D"/>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6133F9"/>
    <w:rsid w:val="0F703267"/>
    <w:rsid w:val="0F7161BC"/>
    <w:rsid w:val="0F7D5CB0"/>
    <w:rsid w:val="0F7E7A29"/>
    <w:rsid w:val="0F7F40B8"/>
    <w:rsid w:val="0F926027"/>
    <w:rsid w:val="0F9818A7"/>
    <w:rsid w:val="0FB16B6E"/>
    <w:rsid w:val="0FB21D95"/>
    <w:rsid w:val="0FBB48E1"/>
    <w:rsid w:val="0FC71348"/>
    <w:rsid w:val="0FCB4724"/>
    <w:rsid w:val="0FD06D88"/>
    <w:rsid w:val="0FD803B8"/>
    <w:rsid w:val="0FDB47D0"/>
    <w:rsid w:val="0FDB4D50"/>
    <w:rsid w:val="0FEC6F1D"/>
    <w:rsid w:val="0FF31A4F"/>
    <w:rsid w:val="10050BEF"/>
    <w:rsid w:val="10105C09"/>
    <w:rsid w:val="101B4D0A"/>
    <w:rsid w:val="102457C5"/>
    <w:rsid w:val="10265E2B"/>
    <w:rsid w:val="102850A1"/>
    <w:rsid w:val="102E2B94"/>
    <w:rsid w:val="103E4453"/>
    <w:rsid w:val="10487926"/>
    <w:rsid w:val="104D382C"/>
    <w:rsid w:val="10533FE1"/>
    <w:rsid w:val="105A537A"/>
    <w:rsid w:val="105A78CE"/>
    <w:rsid w:val="10652030"/>
    <w:rsid w:val="1067433C"/>
    <w:rsid w:val="10714C61"/>
    <w:rsid w:val="1078748F"/>
    <w:rsid w:val="10B35F27"/>
    <w:rsid w:val="10BD7399"/>
    <w:rsid w:val="10C27658"/>
    <w:rsid w:val="10C878E4"/>
    <w:rsid w:val="10D52287"/>
    <w:rsid w:val="10DD168C"/>
    <w:rsid w:val="10E94E73"/>
    <w:rsid w:val="10F568E7"/>
    <w:rsid w:val="1105301C"/>
    <w:rsid w:val="113B37A1"/>
    <w:rsid w:val="114B6CE9"/>
    <w:rsid w:val="117D10CF"/>
    <w:rsid w:val="118032AD"/>
    <w:rsid w:val="118D5178"/>
    <w:rsid w:val="118D7E10"/>
    <w:rsid w:val="118E1E6A"/>
    <w:rsid w:val="118F6BA5"/>
    <w:rsid w:val="11905583"/>
    <w:rsid w:val="11A17412"/>
    <w:rsid w:val="11AD2314"/>
    <w:rsid w:val="11BB075B"/>
    <w:rsid w:val="11C26CDC"/>
    <w:rsid w:val="11C66772"/>
    <w:rsid w:val="11D60E8A"/>
    <w:rsid w:val="11F3367E"/>
    <w:rsid w:val="122616E2"/>
    <w:rsid w:val="122B4E9B"/>
    <w:rsid w:val="122E22E0"/>
    <w:rsid w:val="12372FDA"/>
    <w:rsid w:val="123E3683"/>
    <w:rsid w:val="12403069"/>
    <w:rsid w:val="1240531B"/>
    <w:rsid w:val="124A6752"/>
    <w:rsid w:val="12514381"/>
    <w:rsid w:val="125F3CBF"/>
    <w:rsid w:val="12637524"/>
    <w:rsid w:val="126716B8"/>
    <w:rsid w:val="12834C92"/>
    <w:rsid w:val="12857DC8"/>
    <w:rsid w:val="129A5CF4"/>
    <w:rsid w:val="12A2594A"/>
    <w:rsid w:val="12A730AB"/>
    <w:rsid w:val="12AD45AA"/>
    <w:rsid w:val="12B8731D"/>
    <w:rsid w:val="12C35BF6"/>
    <w:rsid w:val="12CF3051"/>
    <w:rsid w:val="12DE0E5B"/>
    <w:rsid w:val="12FB4C96"/>
    <w:rsid w:val="12FE3E72"/>
    <w:rsid w:val="130F3CC3"/>
    <w:rsid w:val="13110597"/>
    <w:rsid w:val="13213406"/>
    <w:rsid w:val="13276597"/>
    <w:rsid w:val="13295F19"/>
    <w:rsid w:val="133C2A60"/>
    <w:rsid w:val="13471EB3"/>
    <w:rsid w:val="134D197F"/>
    <w:rsid w:val="134E55C3"/>
    <w:rsid w:val="13561269"/>
    <w:rsid w:val="13607B1F"/>
    <w:rsid w:val="136358EC"/>
    <w:rsid w:val="13666F62"/>
    <w:rsid w:val="136F683C"/>
    <w:rsid w:val="138D1B25"/>
    <w:rsid w:val="138F4CCE"/>
    <w:rsid w:val="13985FEF"/>
    <w:rsid w:val="13A07F13"/>
    <w:rsid w:val="13A654BE"/>
    <w:rsid w:val="13A76C1D"/>
    <w:rsid w:val="13A84A88"/>
    <w:rsid w:val="13AA1753"/>
    <w:rsid w:val="13B82829"/>
    <w:rsid w:val="13D061F6"/>
    <w:rsid w:val="13E4309D"/>
    <w:rsid w:val="13EB2DCE"/>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60991"/>
    <w:rsid w:val="146A5618"/>
    <w:rsid w:val="147960C6"/>
    <w:rsid w:val="14887047"/>
    <w:rsid w:val="14893DFA"/>
    <w:rsid w:val="149A2445"/>
    <w:rsid w:val="149E0DF7"/>
    <w:rsid w:val="14AD040F"/>
    <w:rsid w:val="14B317B9"/>
    <w:rsid w:val="14B90A62"/>
    <w:rsid w:val="14D2389F"/>
    <w:rsid w:val="14E704D2"/>
    <w:rsid w:val="14F379AB"/>
    <w:rsid w:val="14F70CB7"/>
    <w:rsid w:val="150D20AB"/>
    <w:rsid w:val="15152E55"/>
    <w:rsid w:val="151A569C"/>
    <w:rsid w:val="152B11E6"/>
    <w:rsid w:val="15304B86"/>
    <w:rsid w:val="15365E39"/>
    <w:rsid w:val="153B0807"/>
    <w:rsid w:val="153D4618"/>
    <w:rsid w:val="153F7FC2"/>
    <w:rsid w:val="1548216E"/>
    <w:rsid w:val="154C4284"/>
    <w:rsid w:val="155A2D86"/>
    <w:rsid w:val="155B1666"/>
    <w:rsid w:val="156D7D07"/>
    <w:rsid w:val="156F0038"/>
    <w:rsid w:val="1571056A"/>
    <w:rsid w:val="15792441"/>
    <w:rsid w:val="157B0798"/>
    <w:rsid w:val="157D7F65"/>
    <w:rsid w:val="158504C7"/>
    <w:rsid w:val="15C85192"/>
    <w:rsid w:val="15F97DF3"/>
    <w:rsid w:val="16025C7B"/>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D77F3E"/>
    <w:rsid w:val="16F743F3"/>
    <w:rsid w:val="170A6F4F"/>
    <w:rsid w:val="17147BB7"/>
    <w:rsid w:val="17232AD6"/>
    <w:rsid w:val="17246746"/>
    <w:rsid w:val="172B13F5"/>
    <w:rsid w:val="1734555B"/>
    <w:rsid w:val="17430331"/>
    <w:rsid w:val="17495E75"/>
    <w:rsid w:val="174A2C66"/>
    <w:rsid w:val="17572ED3"/>
    <w:rsid w:val="176D4C4D"/>
    <w:rsid w:val="17751F2E"/>
    <w:rsid w:val="17875B09"/>
    <w:rsid w:val="179810A1"/>
    <w:rsid w:val="179A692C"/>
    <w:rsid w:val="179B0055"/>
    <w:rsid w:val="179C764D"/>
    <w:rsid w:val="17A34250"/>
    <w:rsid w:val="17A36680"/>
    <w:rsid w:val="17A72CED"/>
    <w:rsid w:val="17A84CD6"/>
    <w:rsid w:val="17B206FA"/>
    <w:rsid w:val="17C65669"/>
    <w:rsid w:val="17C6571E"/>
    <w:rsid w:val="17CA044E"/>
    <w:rsid w:val="17D04DBE"/>
    <w:rsid w:val="17D3328A"/>
    <w:rsid w:val="17D82CB1"/>
    <w:rsid w:val="17E72A55"/>
    <w:rsid w:val="17F235FE"/>
    <w:rsid w:val="17F2558D"/>
    <w:rsid w:val="182E3B7C"/>
    <w:rsid w:val="182F6E6D"/>
    <w:rsid w:val="18317412"/>
    <w:rsid w:val="183423CA"/>
    <w:rsid w:val="183605E1"/>
    <w:rsid w:val="18366506"/>
    <w:rsid w:val="183B6FC1"/>
    <w:rsid w:val="183F1843"/>
    <w:rsid w:val="186D026D"/>
    <w:rsid w:val="187757F6"/>
    <w:rsid w:val="187C46CA"/>
    <w:rsid w:val="187C4ED0"/>
    <w:rsid w:val="187F7D2D"/>
    <w:rsid w:val="188511BB"/>
    <w:rsid w:val="188815FE"/>
    <w:rsid w:val="189F201A"/>
    <w:rsid w:val="18AC112D"/>
    <w:rsid w:val="18B51697"/>
    <w:rsid w:val="18C77933"/>
    <w:rsid w:val="18E800EB"/>
    <w:rsid w:val="18ED4E06"/>
    <w:rsid w:val="18F2783C"/>
    <w:rsid w:val="18F36CEF"/>
    <w:rsid w:val="18F73702"/>
    <w:rsid w:val="18FE1C52"/>
    <w:rsid w:val="1913089F"/>
    <w:rsid w:val="1944492F"/>
    <w:rsid w:val="19467706"/>
    <w:rsid w:val="194B4A77"/>
    <w:rsid w:val="19550888"/>
    <w:rsid w:val="19571B1A"/>
    <w:rsid w:val="196204A5"/>
    <w:rsid w:val="196952AB"/>
    <w:rsid w:val="196C5FAC"/>
    <w:rsid w:val="196D097D"/>
    <w:rsid w:val="196E4C5D"/>
    <w:rsid w:val="19715C96"/>
    <w:rsid w:val="19885BE7"/>
    <w:rsid w:val="19905C83"/>
    <w:rsid w:val="19962F4D"/>
    <w:rsid w:val="199E33D5"/>
    <w:rsid w:val="19A75A1A"/>
    <w:rsid w:val="19B116D2"/>
    <w:rsid w:val="19B977C7"/>
    <w:rsid w:val="19C45A62"/>
    <w:rsid w:val="19CC313D"/>
    <w:rsid w:val="19D325EA"/>
    <w:rsid w:val="19F35D66"/>
    <w:rsid w:val="1A027C40"/>
    <w:rsid w:val="1A055686"/>
    <w:rsid w:val="1A103EEA"/>
    <w:rsid w:val="1A1A2F1E"/>
    <w:rsid w:val="1A246FC3"/>
    <w:rsid w:val="1A2B4C8A"/>
    <w:rsid w:val="1A3F3726"/>
    <w:rsid w:val="1A707E30"/>
    <w:rsid w:val="1A736EE4"/>
    <w:rsid w:val="1A7A6D52"/>
    <w:rsid w:val="1A88771C"/>
    <w:rsid w:val="1A894C76"/>
    <w:rsid w:val="1A8A17B4"/>
    <w:rsid w:val="1A8E060D"/>
    <w:rsid w:val="1AB05EAD"/>
    <w:rsid w:val="1AD0384F"/>
    <w:rsid w:val="1AD83AAC"/>
    <w:rsid w:val="1AE02B2F"/>
    <w:rsid w:val="1AF1663E"/>
    <w:rsid w:val="1B037828"/>
    <w:rsid w:val="1B0958F8"/>
    <w:rsid w:val="1B0C244C"/>
    <w:rsid w:val="1B106137"/>
    <w:rsid w:val="1B1712D7"/>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EF742D"/>
    <w:rsid w:val="1BF14320"/>
    <w:rsid w:val="1C0B086A"/>
    <w:rsid w:val="1C185321"/>
    <w:rsid w:val="1C1D1B8A"/>
    <w:rsid w:val="1C3B0DE7"/>
    <w:rsid w:val="1C5E1F30"/>
    <w:rsid w:val="1C6A6A1E"/>
    <w:rsid w:val="1C7A47AB"/>
    <w:rsid w:val="1C8209CB"/>
    <w:rsid w:val="1C9071C3"/>
    <w:rsid w:val="1C9979BE"/>
    <w:rsid w:val="1CA56346"/>
    <w:rsid w:val="1CA66945"/>
    <w:rsid w:val="1CA91999"/>
    <w:rsid w:val="1CAC1174"/>
    <w:rsid w:val="1CCD2EF5"/>
    <w:rsid w:val="1CD56B20"/>
    <w:rsid w:val="1CDF0906"/>
    <w:rsid w:val="1CE20FD6"/>
    <w:rsid w:val="1CE905A2"/>
    <w:rsid w:val="1CF914DB"/>
    <w:rsid w:val="1D0F1E11"/>
    <w:rsid w:val="1D123352"/>
    <w:rsid w:val="1D1B594A"/>
    <w:rsid w:val="1D287154"/>
    <w:rsid w:val="1D41527E"/>
    <w:rsid w:val="1D4F15EC"/>
    <w:rsid w:val="1D502097"/>
    <w:rsid w:val="1D5108D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85875"/>
    <w:rsid w:val="1E7D21BD"/>
    <w:rsid w:val="1E7F287E"/>
    <w:rsid w:val="1E944C8D"/>
    <w:rsid w:val="1E97233C"/>
    <w:rsid w:val="1EAE2ED7"/>
    <w:rsid w:val="1EC87FB8"/>
    <w:rsid w:val="1ED524CF"/>
    <w:rsid w:val="1EDD37BD"/>
    <w:rsid w:val="1EED734B"/>
    <w:rsid w:val="1EF0011B"/>
    <w:rsid w:val="1EFC10C4"/>
    <w:rsid w:val="1F0D3D8F"/>
    <w:rsid w:val="1F0E7549"/>
    <w:rsid w:val="1F2440A4"/>
    <w:rsid w:val="1F2D7B89"/>
    <w:rsid w:val="1F331581"/>
    <w:rsid w:val="1F3D225F"/>
    <w:rsid w:val="1F3D6D65"/>
    <w:rsid w:val="1F44224C"/>
    <w:rsid w:val="1F44671E"/>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F2E04"/>
    <w:rsid w:val="1FE52C08"/>
    <w:rsid w:val="1FE8469C"/>
    <w:rsid w:val="1FEF2AB0"/>
    <w:rsid w:val="1FFD3364"/>
    <w:rsid w:val="200516F0"/>
    <w:rsid w:val="202538CB"/>
    <w:rsid w:val="20294B58"/>
    <w:rsid w:val="203708AB"/>
    <w:rsid w:val="20393A22"/>
    <w:rsid w:val="203E738A"/>
    <w:rsid w:val="203E7AF3"/>
    <w:rsid w:val="204F2868"/>
    <w:rsid w:val="20532709"/>
    <w:rsid w:val="205F126B"/>
    <w:rsid w:val="20617BCC"/>
    <w:rsid w:val="20650459"/>
    <w:rsid w:val="20742E12"/>
    <w:rsid w:val="20830317"/>
    <w:rsid w:val="208751CF"/>
    <w:rsid w:val="209D244D"/>
    <w:rsid w:val="209F2C42"/>
    <w:rsid w:val="20A24478"/>
    <w:rsid w:val="20A643FE"/>
    <w:rsid w:val="20A7435A"/>
    <w:rsid w:val="20A75262"/>
    <w:rsid w:val="20BD3B4E"/>
    <w:rsid w:val="20CF6738"/>
    <w:rsid w:val="20D11B55"/>
    <w:rsid w:val="20E0320A"/>
    <w:rsid w:val="20F56C7E"/>
    <w:rsid w:val="20FD5768"/>
    <w:rsid w:val="20FF02F9"/>
    <w:rsid w:val="21032F9C"/>
    <w:rsid w:val="210526EF"/>
    <w:rsid w:val="210A056A"/>
    <w:rsid w:val="21163C79"/>
    <w:rsid w:val="212366FB"/>
    <w:rsid w:val="2125535B"/>
    <w:rsid w:val="212659BC"/>
    <w:rsid w:val="21351A10"/>
    <w:rsid w:val="214F7353"/>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665A2E"/>
    <w:rsid w:val="22714CE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80E4B"/>
    <w:rsid w:val="235B4AD9"/>
    <w:rsid w:val="23883B9A"/>
    <w:rsid w:val="239150EB"/>
    <w:rsid w:val="23936021"/>
    <w:rsid w:val="2399719B"/>
    <w:rsid w:val="23A64DE0"/>
    <w:rsid w:val="23B0457A"/>
    <w:rsid w:val="23C23149"/>
    <w:rsid w:val="23F560DC"/>
    <w:rsid w:val="23FB048B"/>
    <w:rsid w:val="243520AC"/>
    <w:rsid w:val="244E566C"/>
    <w:rsid w:val="244F6681"/>
    <w:rsid w:val="24627BCF"/>
    <w:rsid w:val="24705D7F"/>
    <w:rsid w:val="24856D5A"/>
    <w:rsid w:val="24887A28"/>
    <w:rsid w:val="248D60CD"/>
    <w:rsid w:val="249810B0"/>
    <w:rsid w:val="24AB46CE"/>
    <w:rsid w:val="24BA5970"/>
    <w:rsid w:val="24BC32DC"/>
    <w:rsid w:val="24D378AD"/>
    <w:rsid w:val="24DA2D5E"/>
    <w:rsid w:val="24DC2378"/>
    <w:rsid w:val="251A0CC2"/>
    <w:rsid w:val="25310178"/>
    <w:rsid w:val="255140B8"/>
    <w:rsid w:val="25564A22"/>
    <w:rsid w:val="255E41F6"/>
    <w:rsid w:val="25662BA7"/>
    <w:rsid w:val="257316DB"/>
    <w:rsid w:val="257617DD"/>
    <w:rsid w:val="257D6320"/>
    <w:rsid w:val="25803D41"/>
    <w:rsid w:val="25972861"/>
    <w:rsid w:val="259F60A5"/>
    <w:rsid w:val="25B65378"/>
    <w:rsid w:val="25C45357"/>
    <w:rsid w:val="25D15CFE"/>
    <w:rsid w:val="25E21B1F"/>
    <w:rsid w:val="25ED5172"/>
    <w:rsid w:val="26064535"/>
    <w:rsid w:val="261825B9"/>
    <w:rsid w:val="26185AAC"/>
    <w:rsid w:val="262300F0"/>
    <w:rsid w:val="26293C97"/>
    <w:rsid w:val="262C42B1"/>
    <w:rsid w:val="262D45DE"/>
    <w:rsid w:val="262E69DE"/>
    <w:rsid w:val="264574FC"/>
    <w:rsid w:val="264C627F"/>
    <w:rsid w:val="26547656"/>
    <w:rsid w:val="265652F9"/>
    <w:rsid w:val="26641AAF"/>
    <w:rsid w:val="26646E06"/>
    <w:rsid w:val="266C63A1"/>
    <w:rsid w:val="2679175B"/>
    <w:rsid w:val="26880F52"/>
    <w:rsid w:val="268A6528"/>
    <w:rsid w:val="268E32AC"/>
    <w:rsid w:val="26935BD3"/>
    <w:rsid w:val="269468D4"/>
    <w:rsid w:val="26B15A6F"/>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F68D7"/>
    <w:rsid w:val="275313DC"/>
    <w:rsid w:val="27566CCC"/>
    <w:rsid w:val="277140F6"/>
    <w:rsid w:val="27884B07"/>
    <w:rsid w:val="27905C74"/>
    <w:rsid w:val="27933BB6"/>
    <w:rsid w:val="279C1FE2"/>
    <w:rsid w:val="27A009C3"/>
    <w:rsid w:val="27A315D7"/>
    <w:rsid w:val="27A43F14"/>
    <w:rsid w:val="27BD0090"/>
    <w:rsid w:val="27C737C1"/>
    <w:rsid w:val="27CB2991"/>
    <w:rsid w:val="27CD757F"/>
    <w:rsid w:val="27E4115D"/>
    <w:rsid w:val="27E674E6"/>
    <w:rsid w:val="27F00AA0"/>
    <w:rsid w:val="281874F3"/>
    <w:rsid w:val="283969E4"/>
    <w:rsid w:val="28424D1F"/>
    <w:rsid w:val="284F3C91"/>
    <w:rsid w:val="28513613"/>
    <w:rsid w:val="28561EDC"/>
    <w:rsid w:val="28621B2E"/>
    <w:rsid w:val="28634FDE"/>
    <w:rsid w:val="286F013D"/>
    <w:rsid w:val="288943DE"/>
    <w:rsid w:val="288C6EC5"/>
    <w:rsid w:val="28B853D5"/>
    <w:rsid w:val="28BB4EB7"/>
    <w:rsid w:val="28CD3993"/>
    <w:rsid w:val="28DA0638"/>
    <w:rsid w:val="28DE18D8"/>
    <w:rsid w:val="28E262FC"/>
    <w:rsid w:val="28EE364B"/>
    <w:rsid w:val="28F75B22"/>
    <w:rsid w:val="29090178"/>
    <w:rsid w:val="290C687A"/>
    <w:rsid w:val="291112D1"/>
    <w:rsid w:val="2934503C"/>
    <w:rsid w:val="293A27DB"/>
    <w:rsid w:val="293F1E8D"/>
    <w:rsid w:val="294221FD"/>
    <w:rsid w:val="295A6932"/>
    <w:rsid w:val="295F0888"/>
    <w:rsid w:val="29706A8F"/>
    <w:rsid w:val="297A2791"/>
    <w:rsid w:val="29845175"/>
    <w:rsid w:val="2993062F"/>
    <w:rsid w:val="29934459"/>
    <w:rsid w:val="299B12F2"/>
    <w:rsid w:val="299E3480"/>
    <w:rsid w:val="29AF2F94"/>
    <w:rsid w:val="29B16900"/>
    <w:rsid w:val="29D43C22"/>
    <w:rsid w:val="29DB4114"/>
    <w:rsid w:val="29DE4B32"/>
    <w:rsid w:val="29FA6CCF"/>
    <w:rsid w:val="2A1F6B7F"/>
    <w:rsid w:val="2A2500D9"/>
    <w:rsid w:val="2A2F2FD1"/>
    <w:rsid w:val="2A2F693C"/>
    <w:rsid w:val="2A305DFD"/>
    <w:rsid w:val="2A347244"/>
    <w:rsid w:val="2A3A5B8E"/>
    <w:rsid w:val="2A4716FC"/>
    <w:rsid w:val="2A5A1D8B"/>
    <w:rsid w:val="2A6F41D7"/>
    <w:rsid w:val="2A752BAD"/>
    <w:rsid w:val="2A803A70"/>
    <w:rsid w:val="2AA44FBC"/>
    <w:rsid w:val="2AAB3773"/>
    <w:rsid w:val="2AAC2DD5"/>
    <w:rsid w:val="2AD3723D"/>
    <w:rsid w:val="2AD457C4"/>
    <w:rsid w:val="2ADA5089"/>
    <w:rsid w:val="2ADF73F2"/>
    <w:rsid w:val="2AE27479"/>
    <w:rsid w:val="2AEB53B6"/>
    <w:rsid w:val="2AF44704"/>
    <w:rsid w:val="2B060AAB"/>
    <w:rsid w:val="2B0C6135"/>
    <w:rsid w:val="2B102D07"/>
    <w:rsid w:val="2B232DA6"/>
    <w:rsid w:val="2B260BA1"/>
    <w:rsid w:val="2B305623"/>
    <w:rsid w:val="2B371810"/>
    <w:rsid w:val="2B39182A"/>
    <w:rsid w:val="2B3F1D07"/>
    <w:rsid w:val="2B4B18D5"/>
    <w:rsid w:val="2B593931"/>
    <w:rsid w:val="2B624173"/>
    <w:rsid w:val="2B641F34"/>
    <w:rsid w:val="2B736244"/>
    <w:rsid w:val="2B744986"/>
    <w:rsid w:val="2B8D5341"/>
    <w:rsid w:val="2B984C73"/>
    <w:rsid w:val="2B9A7FF0"/>
    <w:rsid w:val="2BA3487F"/>
    <w:rsid w:val="2BAA4FAC"/>
    <w:rsid w:val="2BB67753"/>
    <w:rsid w:val="2BBA6E27"/>
    <w:rsid w:val="2BC25C69"/>
    <w:rsid w:val="2BCF4D14"/>
    <w:rsid w:val="2BD46F95"/>
    <w:rsid w:val="2BDE3978"/>
    <w:rsid w:val="2BE230DC"/>
    <w:rsid w:val="2BE449F7"/>
    <w:rsid w:val="2BE52E83"/>
    <w:rsid w:val="2BF951DC"/>
    <w:rsid w:val="2BFD28C6"/>
    <w:rsid w:val="2BFE4A8B"/>
    <w:rsid w:val="2C062B8F"/>
    <w:rsid w:val="2C1058CB"/>
    <w:rsid w:val="2C1C0A41"/>
    <w:rsid w:val="2C24736E"/>
    <w:rsid w:val="2C291FDC"/>
    <w:rsid w:val="2C425966"/>
    <w:rsid w:val="2C594253"/>
    <w:rsid w:val="2C606FEE"/>
    <w:rsid w:val="2C684DDF"/>
    <w:rsid w:val="2C901369"/>
    <w:rsid w:val="2C940BA3"/>
    <w:rsid w:val="2CA023E3"/>
    <w:rsid w:val="2CA06B4C"/>
    <w:rsid w:val="2CB029F2"/>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B050E"/>
    <w:rsid w:val="2D7B0547"/>
    <w:rsid w:val="2D7C5779"/>
    <w:rsid w:val="2D887B44"/>
    <w:rsid w:val="2D8C6A45"/>
    <w:rsid w:val="2D940F98"/>
    <w:rsid w:val="2DA30C6F"/>
    <w:rsid w:val="2DA75C16"/>
    <w:rsid w:val="2DAA21CA"/>
    <w:rsid w:val="2DAA4AB7"/>
    <w:rsid w:val="2DAF112B"/>
    <w:rsid w:val="2DAF7C87"/>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606BD"/>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75815"/>
    <w:rsid w:val="2ECD5577"/>
    <w:rsid w:val="2ED36426"/>
    <w:rsid w:val="2EE36769"/>
    <w:rsid w:val="2EEB5CA4"/>
    <w:rsid w:val="2EF855C5"/>
    <w:rsid w:val="2F005A86"/>
    <w:rsid w:val="2F0E074E"/>
    <w:rsid w:val="2F2815C3"/>
    <w:rsid w:val="2F305F27"/>
    <w:rsid w:val="2F306B14"/>
    <w:rsid w:val="2F3D2B51"/>
    <w:rsid w:val="2F5845E0"/>
    <w:rsid w:val="2F5E1A42"/>
    <w:rsid w:val="2F681941"/>
    <w:rsid w:val="2F7C03FF"/>
    <w:rsid w:val="2F8C74CC"/>
    <w:rsid w:val="2FA221E1"/>
    <w:rsid w:val="2FB15F4F"/>
    <w:rsid w:val="2FB6156B"/>
    <w:rsid w:val="2FBC059A"/>
    <w:rsid w:val="2FD853AB"/>
    <w:rsid w:val="2FD94B1B"/>
    <w:rsid w:val="2FDE391A"/>
    <w:rsid w:val="2FDF37F2"/>
    <w:rsid w:val="2FE02848"/>
    <w:rsid w:val="30067FA8"/>
    <w:rsid w:val="301420BD"/>
    <w:rsid w:val="30157802"/>
    <w:rsid w:val="301730DB"/>
    <w:rsid w:val="301E3A39"/>
    <w:rsid w:val="302E3A05"/>
    <w:rsid w:val="302E46A1"/>
    <w:rsid w:val="30307E9D"/>
    <w:rsid w:val="303B1F01"/>
    <w:rsid w:val="303F701F"/>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40D24"/>
    <w:rsid w:val="30EB2330"/>
    <w:rsid w:val="30F1289A"/>
    <w:rsid w:val="31104E38"/>
    <w:rsid w:val="311528A0"/>
    <w:rsid w:val="311C7640"/>
    <w:rsid w:val="31374273"/>
    <w:rsid w:val="31383841"/>
    <w:rsid w:val="313A4E66"/>
    <w:rsid w:val="313D4BD0"/>
    <w:rsid w:val="3153035B"/>
    <w:rsid w:val="316A78A7"/>
    <w:rsid w:val="316E4D3C"/>
    <w:rsid w:val="31716956"/>
    <w:rsid w:val="3177294E"/>
    <w:rsid w:val="317E3486"/>
    <w:rsid w:val="3184231A"/>
    <w:rsid w:val="31855F82"/>
    <w:rsid w:val="31910728"/>
    <w:rsid w:val="319B36CD"/>
    <w:rsid w:val="319C5240"/>
    <w:rsid w:val="319C6E0F"/>
    <w:rsid w:val="319D5D22"/>
    <w:rsid w:val="31B00B6A"/>
    <w:rsid w:val="31DC3B79"/>
    <w:rsid w:val="31E05350"/>
    <w:rsid w:val="31E94383"/>
    <w:rsid w:val="31E97A5D"/>
    <w:rsid w:val="31EB47D1"/>
    <w:rsid w:val="31F25212"/>
    <w:rsid w:val="31F670B2"/>
    <w:rsid w:val="31F74A5B"/>
    <w:rsid w:val="31FE4BDB"/>
    <w:rsid w:val="32186B08"/>
    <w:rsid w:val="321B3580"/>
    <w:rsid w:val="321B3F75"/>
    <w:rsid w:val="321C72EF"/>
    <w:rsid w:val="321D0A1A"/>
    <w:rsid w:val="324E6076"/>
    <w:rsid w:val="3250540C"/>
    <w:rsid w:val="325560D7"/>
    <w:rsid w:val="325778B6"/>
    <w:rsid w:val="325E1EF9"/>
    <w:rsid w:val="326B0FAB"/>
    <w:rsid w:val="32827684"/>
    <w:rsid w:val="32837896"/>
    <w:rsid w:val="3291413A"/>
    <w:rsid w:val="329B1384"/>
    <w:rsid w:val="329B183A"/>
    <w:rsid w:val="329D6B31"/>
    <w:rsid w:val="329D7001"/>
    <w:rsid w:val="32B16648"/>
    <w:rsid w:val="32B57A2C"/>
    <w:rsid w:val="32BA7678"/>
    <w:rsid w:val="32C85F36"/>
    <w:rsid w:val="32CF3057"/>
    <w:rsid w:val="32E425B8"/>
    <w:rsid w:val="32FD343D"/>
    <w:rsid w:val="330218FC"/>
    <w:rsid w:val="330B35C0"/>
    <w:rsid w:val="330B7E62"/>
    <w:rsid w:val="331336F4"/>
    <w:rsid w:val="33151905"/>
    <w:rsid w:val="331F3877"/>
    <w:rsid w:val="33232D9A"/>
    <w:rsid w:val="33425170"/>
    <w:rsid w:val="33456A5F"/>
    <w:rsid w:val="334A035D"/>
    <w:rsid w:val="33510980"/>
    <w:rsid w:val="33734C4D"/>
    <w:rsid w:val="33735668"/>
    <w:rsid w:val="337A2D2B"/>
    <w:rsid w:val="338041E8"/>
    <w:rsid w:val="33821BC6"/>
    <w:rsid w:val="338A2DC3"/>
    <w:rsid w:val="339177BA"/>
    <w:rsid w:val="339A777C"/>
    <w:rsid w:val="33A238F2"/>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7E11A6"/>
    <w:rsid w:val="348214CB"/>
    <w:rsid w:val="34A3222F"/>
    <w:rsid w:val="34AA6695"/>
    <w:rsid w:val="34B22CE7"/>
    <w:rsid w:val="34C2437D"/>
    <w:rsid w:val="34C63F34"/>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F442A"/>
    <w:rsid w:val="356A48FB"/>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478FB"/>
    <w:rsid w:val="363B1D9E"/>
    <w:rsid w:val="36400235"/>
    <w:rsid w:val="36434939"/>
    <w:rsid w:val="36492CDE"/>
    <w:rsid w:val="365411FD"/>
    <w:rsid w:val="36544E2E"/>
    <w:rsid w:val="366B36EA"/>
    <w:rsid w:val="36703E21"/>
    <w:rsid w:val="36727F8B"/>
    <w:rsid w:val="3684065E"/>
    <w:rsid w:val="36900BB5"/>
    <w:rsid w:val="3697357F"/>
    <w:rsid w:val="36A51892"/>
    <w:rsid w:val="36A51F0C"/>
    <w:rsid w:val="36AD710C"/>
    <w:rsid w:val="36B305F7"/>
    <w:rsid w:val="36BE00FC"/>
    <w:rsid w:val="36D83AA4"/>
    <w:rsid w:val="36EB2C54"/>
    <w:rsid w:val="370E2FD1"/>
    <w:rsid w:val="370E5AA6"/>
    <w:rsid w:val="37104AB2"/>
    <w:rsid w:val="37115638"/>
    <w:rsid w:val="37124750"/>
    <w:rsid w:val="37182A83"/>
    <w:rsid w:val="371F27E0"/>
    <w:rsid w:val="371F4093"/>
    <w:rsid w:val="3740473D"/>
    <w:rsid w:val="37431A6B"/>
    <w:rsid w:val="37510A61"/>
    <w:rsid w:val="37586AFF"/>
    <w:rsid w:val="375F79AC"/>
    <w:rsid w:val="376B0B9F"/>
    <w:rsid w:val="376B7BE5"/>
    <w:rsid w:val="378963EC"/>
    <w:rsid w:val="378E7A02"/>
    <w:rsid w:val="3796453A"/>
    <w:rsid w:val="37B654CF"/>
    <w:rsid w:val="37BC0237"/>
    <w:rsid w:val="37BE1B5B"/>
    <w:rsid w:val="37DE0796"/>
    <w:rsid w:val="37EF18DE"/>
    <w:rsid w:val="37EF79C3"/>
    <w:rsid w:val="37F670C3"/>
    <w:rsid w:val="37FC009C"/>
    <w:rsid w:val="37FF7B9B"/>
    <w:rsid w:val="38181468"/>
    <w:rsid w:val="38266097"/>
    <w:rsid w:val="382B05E8"/>
    <w:rsid w:val="383D11AC"/>
    <w:rsid w:val="38433B7B"/>
    <w:rsid w:val="38470E28"/>
    <w:rsid w:val="385D7AFD"/>
    <w:rsid w:val="386466C5"/>
    <w:rsid w:val="386822BE"/>
    <w:rsid w:val="38706B70"/>
    <w:rsid w:val="3873396F"/>
    <w:rsid w:val="38965F32"/>
    <w:rsid w:val="38A302B0"/>
    <w:rsid w:val="38B50907"/>
    <w:rsid w:val="38C52563"/>
    <w:rsid w:val="38CF3502"/>
    <w:rsid w:val="38D026A0"/>
    <w:rsid w:val="38D64D2E"/>
    <w:rsid w:val="38DF6850"/>
    <w:rsid w:val="38E86874"/>
    <w:rsid w:val="38F27A27"/>
    <w:rsid w:val="39121828"/>
    <w:rsid w:val="392B67E9"/>
    <w:rsid w:val="392E7FEA"/>
    <w:rsid w:val="39403158"/>
    <w:rsid w:val="39422F81"/>
    <w:rsid w:val="39541987"/>
    <w:rsid w:val="39674659"/>
    <w:rsid w:val="39737D60"/>
    <w:rsid w:val="39805A6B"/>
    <w:rsid w:val="39861FD4"/>
    <w:rsid w:val="398B215C"/>
    <w:rsid w:val="398D19A4"/>
    <w:rsid w:val="39900ACA"/>
    <w:rsid w:val="39950860"/>
    <w:rsid w:val="39961F8A"/>
    <w:rsid w:val="399709A3"/>
    <w:rsid w:val="39A457F7"/>
    <w:rsid w:val="39CF7658"/>
    <w:rsid w:val="39D2691A"/>
    <w:rsid w:val="3A067DC3"/>
    <w:rsid w:val="3A0923AC"/>
    <w:rsid w:val="3A0A0D2A"/>
    <w:rsid w:val="3A1D4202"/>
    <w:rsid w:val="3A25043E"/>
    <w:rsid w:val="3A2E6CF7"/>
    <w:rsid w:val="3A437BAA"/>
    <w:rsid w:val="3A4703B2"/>
    <w:rsid w:val="3A540A21"/>
    <w:rsid w:val="3A5A6D18"/>
    <w:rsid w:val="3A5B5CCD"/>
    <w:rsid w:val="3A604BFE"/>
    <w:rsid w:val="3A77400E"/>
    <w:rsid w:val="3A8B713C"/>
    <w:rsid w:val="3A904200"/>
    <w:rsid w:val="3A9A6991"/>
    <w:rsid w:val="3ABB1AFA"/>
    <w:rsid w:val="3ABE5070"/>
    <w:rsid w:val="3ABF3FE5"/>
    <w:rsid w:val="3AC13BBB"/>
    <w:rsid w:val="3ACD29DF"/>
    <w:rsid w:val="3ADE52CD"/>
    <w:rsid w:val="3AED663B"/>
    <w:rsid w:val="3B1B7548"/>
    <w:rsid w:val="3B346CF8"/>
    <w:rsid w:val="3B624683"/>
    <w:rsid w:val="3B767EA6"/>
    <w:rsid w:val="3B7D7296"/>
    <w:rsid w:val="3B847E1B"/>
    <w:rsid w:val="3B966246"/>
    <w:rsid w:val="3BB75F98"/>
    <w:rsid w:val="3BC32CB5"/>
    <w:rsid w:val="3BD44BB4"/>
    <w:rsid w:val="3BE357EB"/>
    <w:rsid w:val="3BEE385B"/>
    <w:rsid w:val="3C0172B6"/>
    <w:rsid w:val="3C0B5CA3"/>
    <w:rsid w:val="3C0E05F6"/>
    <w:rsid w:val="3C2734AB"/>
    <w:rsid w:val="3C314700"/>
    <w:rsid w:val="3C342BC6"/>
    <w:rsid w:val="3C3E75CE"/>
    <w:rsid w:val="3C466139"/>
    <w:rsid w:val="3C4E0160"/>
    <w:rsid w:val="3C542066"/>
    <w:rsid w:val="3C547926"/>
    <w:rsid w:val="3C712C0D"/>
    <w:rsid w:val="3C891DCD"/>
    <w:rsid w:val="3C92587C"/>
    <w:rsid w:val="3CA303AC"/>
    <w:rsid w:val="3CA43A66"/>
    <w:rsid w:val="3CB26D3B"/>
    <w:rsid w:val="3CB72214"/>
    <w:rsid w:val="3CC60F1C"/>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653C3"/>
    <w:rsid w:val="3D897327"/>
    <w:rsid w:val="3D8A2963"/>
    <w:rsid w:val="3D905AA7"/>
    <w:rsid w:val="3D9A1C9F"/>
    <w:rsid w:val="3DA94319"/>
    <w:rsid w:val="3DBB0531"/>
    <w:rsid w:val="3DBB46B9"/>
    <w:rsid w:val="3DC050AE"/>
    <w:rsid w:val="3DC455E7"/>
    <w:rsid w:val="3DC66171"/>
    <w:rsid w:val="3DC709D6"/>
    <w:rsid w:val="3DD8179F"/>
    <w:rsid w:val="3DDA3E19"/>
    <w:rsid w:val="3DE345DD"/>
    <w:rsid w:val="3DE8047A"/>
    <w:rsid w:val="3DF61324"/>
    <w:rsid w:val="3DFB3BA3"/>
    <w:rsid w:val="3E071F41"/>
    <w:rsid w:val="3E1214CE"/>
    <w:rsid w:val="3E244BC8"/>
    <w:rsid w:val="3E2E512E"/>
    <w:rsid w:val="3E5E75BD"/>
    <w:rsid w:val="3E72004A"/>
    <w:rsid w:val="3E802E9D"/>
    <w:rsid w:val="3E855765"/>
    <w:rsid w:val="3E8925EA"/>
    <w:rsid w:val="3E900EA9"/>
    <w:rsid w:val="3E9C614F"/>
    <w:rsid w:val="3E9E5B77"/>
    <w:rsid w:val="3EA66267"/>
    <w:rsid w:val="3EA71470"/>
    <w:rsid w:val="3EB25312"/>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D2DA6"/>
    <w:rsid w:val="3F464C96"/>
    <w:rsid w:val="3F575953"/>
    <w:rsid w:val="3F5778AE"/>
    <w:rsid w:val="3F5B2A77"/>
    <w:rsid w:val="3F7006B3"/>
    <w:rsid w:val="3F702EE4"/>
    <w:rsid w:val="3F7A68EA"/>
    <w:rsid w:val="3F7E14E5"/>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C3F56"/>
    <w:rsid w:val="40704D3F"/>
    <w:rsid w:val="408B7AA1"/>
    <w:rsid w:val="408D7B4F"/>
    <w:rsid w:val="4092367B"/>
    <w:rsid w:val="40940F66"/>
    <w:rsid w:val="409E3EEA"/>
    <w:rsid w:val="40BF2FB2"/>
    <w:rsid w:val="40BF56B4"/>
    <w:rsid w:val="40C93FF4"/>
    <w:rsid w:val="40CD2EC8"/>
    <w:rsid w:val="40CF6C51"/>
    <w:rsid w:val="40EC10C3"/>
    <w:rsid w:val="40F82324"/>
    <w:rsid w:val="40FD421D"/>
    <w:rsid w:val="41196265"/>
    <w:rsid w:val="41220192"/>
    <w:rsid w:val="41295F86"/>
    <w:rsid w:val="412A1DAC"/>
    <w:rsid w:val="413C20B9"/>
    <w:rsid w:val="41594D80"/>
    <w:rsid w:val="416532E6"/>
    <w:rsid w:val="416D45B6"/>
    <w:rsid w:val="417803D7"/>
    <w:rsid w:val="417C6281"/>
    <w:rsid w:val="41833A5A"/>
    <w:rsid w:val="418523ED"/>
    <w:rsid w:val="41926AF4"/>
    <w:rsid w:val="419A53F7"/>
    <w:rsid w:val="419D6C46"/>
    <w:rsid w:val="419F4F1F"/>
    <w:rsid w:val="41A366E6"/>
    <w:rsid w:val="41AA40E2"/>
    <w:rsid w:val="41BB7065"/>
    <w:rsid w:val="41BF3D5D"/>
    <w:rsid w:val="41D71EE9"/>
    <w:rsid w:val="41D8720C"/>
    <w:rsid w:val="41DF673E"/>
    <w:rsid w:val="41F73A38"/>
    <w:rsid w:val="41F73F38"/>
    <w:rsid w:val="420155D7"/>
    <w:rsid w:val="420314FD"/>
    <w:rsid w:val="421A6C05"/>
    <w:rsid w:val="421B47DB"/>
    <w:rsid w:val="42232A49"/>
    <w:rsid w:val="42277215"/>
    <w:rsid w:val="42315EC8"/>
    <w:rsid w:val="42333E0F"/>
    <w:rsid w:val="42377B73"/>
    <w:rsid w:val="423C621D"/>
    <w:rsid w:val="424C381E"/>
    <w:rsid w:val="42680B89"/>
    <w:rsid w:val="426F1CE1"/>
    <w:rsid w:val="427135C2"/>
    <w:rsid w:val="4281712C"/>
    <w:rsid w:val="42843B5B"/>
    <w:rsid w:val="42913DC3"/>
    <w:rsid w:val="4298706B"/>
    <w:rsid w:val="42B3343D"/>
    <w:rsid w:val="42B910D0"/>
    <w:rsid w:val="42BF171E"/>
    <w:rsid w:val="42C125EA"/>
    <w:rsid w:val="42C83274"/>
    <w:rsid w:val="42CA7946"/>
    <w:rsid w:val="42D369CE"/>
    <w:rsid w:val="42F079F7"/>
    <w:rsid w:val="42F91401"/>
    <w:rsid w:val="42FB7958"/>
    <w:rsid w:val="4305612A"/>
    <w:rsid w:val="43083712"/>
    <w:rsid w:val="430E3C0B"/>
    <w:rsid w:val="431864F5"/>
    <w:rsid w:val="43713E15"/>
    <w:rsid w:val="437E67A3"/>
    <w:rsid w:val="43974AF3"/>
    <w:rsid w:val="43993757"/>
    <w:rsid w:val="43C4444C"/>
    <w:rsid w:val="43E05969"/>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A1BDC"/>
    <w:rsid w:val="44712A56"/>
    <w:rsid w:val="448C1AAD"/>
    <w:rsid w:val="44987476"/>
    <w:rsid w:val="449E3DE5"/>
    <w:rsid w:val="44BB7900"/>
    <w:rsid w:val="44BD135B"/>
    <w:rsid w:val="44BD7891"/>
    <w:rsid w:val="44C730DA"/>
    <w:rsid w:val="44C850F1"/>
    <w:rsid w:val="44DD2FAF"/>
    <w:rsid w:val="44DF7056"/>
    <w:rsid w:val="44E13266"/>
    <w:rsid w:val="44E20456"/>
    <w:rsid w:val="44EE2D41"/>
    <w:rsid w:val="44F25ECE"/>
    <w:rsid w:val="44F92849"/>
    <w:rsid w:val="44FF5031"/>
    <w:rsid w:val="451766A1"/>
    <w:rsid w:val="451D5227"/>
    <w:rsid w:val="455851C9"/>
    <w:rsid w:val="455C0D7C"/>
    <w:rsid w:val="45600593"/>
    <w:rsid w:val="4564204D"/>
    <w:rsid w:val="456F498A"/>
    <w:rsid w:val="459168F4"/>
    <w:rsid w:val="45985442"/>
    <w:rsid w:val="45A069AA"/>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5571C"/>
    <w:rsid w:val="46165270"/>
    <w:rsid w:val="46183026"/>
    <w:rsid w:val="461E7663"/>
    <w:rsid w:val="462324A3"/>
    <w:rsid w:val="46257B3B"/>
    <w:rsid w:val="4628589F"/>
    <w:rsid w:val="4642436A"/>
    <w:rsid w:val="46467D5B"/>
    <w:rsid w:val="464E5B7C"/>
    <w:rsid w:val="466671AD"/>
    <w:rsid w:val="466731A0"/>
    <w:rsid w:val="467B0EF6"/>
    <w:rsid w:val="46867761"/>
    <w:rsid w:val="468E68CD"/>
    <w:rsid w:val="46900D81"/>
    <w:rsid w:val="4699010F"/>
    <w:rsid w:val="46A55760"/>
    <w:rsid w:val="46B529D4"/>
    <w:rsid w:val="46B61DB3"/>
    <w:rsid w:val="46BA3C5F"/>
    <w:rsid w:val="46D12BD5"/>
    <w:rsid w:val="46DE650B"/>
    <w:rsid w:val="46ED0ADC"/>
    <w:rsid w:val="46F1506A"/>
    <w:rsid w:val="46F64655"/>
    <w:rsid w:val="470403BD"/>
    <w:rsid w:val="470E05C9"/>
    <w:rsid w:val="471C19E9"/>
    <w:rsid w:val="4729065B"/>
    <w:rsid w:val="473D70EB"/>
    <w:rsid w:val="474D7636"/>
    <w:rsid w:val="475228B9"/>
    <w:rsid w:val="47713A6B"/>
    <w:rsid w:val="478364EA"/>
    <w:rsid w:val="47847318"/>
    <w:rsid w:val="47855C2B"/>
    <w:rsid w:val="47961ECC"/>
    <w:rsid w:val="47975B88"/>
    <w:rsid w:val="479B2F6C"/>
    <w:rsid w:val="47AC00DF"/>
    <w:rsid w:val="47C82B06"/>
    <w:rsid w:val="47D53E43"/>
    <w:rsid w:val="47E41D07"/>
    <w:rsid w:val="47F023D5"/>
    <w:rsid w:val="47F660BF"/>
    <w:rsid w:val="47F74738"/>
    <w:rsid w:val="47F82CA3"/>
    <w:rsid w:val="47FF2222"/>
    <w:rsid w:val="481650EE"/>
    <w:rsid w:val="482615A5"/>
    <w:rsid w:val="483617DD"/>
    <w:rsid w:val="483C3759"/>
    <w:rsid w:val="48566C9F"/>
    <w:rsid w:val="485A2518"/>
    <w:rsid w:val="485D12BC"/>
    <w:rsid w:val="48634CC4"/>
    <w:rsid w:val="486A65F6"/>
    <w:rsid w:val="48716A91"/>
    <w:rsid w:val="48A04603"/>
    <w:rsid w:val="48AA01AD"/>
    <w:rsid w:val="48AB246B"/>
    <w:rsid w:val="48AD129E"/>
    <w:rsid w:val="48C614EE"/>
    <w:rsid w:val="48C93C0A"/>
    <w:rsid w:val="48CB5AC8"/>
    <w:rsid w:val="48D26D9E"/>
    <w:rsid w:val="48D85766"/>
    <w:rsid w:val="48DB604A"/>
    <w:rsid w:val="48EC2F10"/>
    <w:rsid w:val="48F42BFE"/>
    <w:rsid w:val="491E3C57"/>
    <w:rsid w:val="492C5EE3"/>
    <w:rsid w:val="49301A10"/>
    <w:rsid w:val="49370D06"/>
    <w:rsid w:val="493A0FB1"/>
    <w:rsid w:val="493C6C21"/>
    <w:rsid w:val="494120A4"/>
    <w:rsid w:val="495F3D3B"/>
    <w:rsid w:val="49677A99"/>
    <w:rsid w:val="49697649"/>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040B9"/>
    <w:rsid w:val="4A1B6BD0"/>
    <w:rsid w:val="4A222D59"/>
    <w:rsid w:val="4A256E9B"/>
    <w:rsid w:val="4A307DFD"/>
    <w:rsid w:val="4A4E727E"/>
    <w:rsid w:val="4A5C71F9"/>
    <w:rsid w:val="4A5F613F"/>
    <w:rsid w:val="4A633982"/>
    <w:rsid w:val="4A683AA3"/>
    <w:rsid w:val="4A7D7E75"/>
    <w:rsid w:val="4A8D1775"/>
    <w:rsid w:val="4A90642A"/>
    <w:rsid w:val="4A911E74"/>
    <w:rsid w:val="4A9E619C"/>
    <w:rsid w:val="4AB02584"/>
    <w:rsid w:val="4AC10A1D"/>
    <w:rsid w:val="4ACD5033"/>
    <w:rsid w:val="4AD52C86"/>
    <w:rsid w:val="4AD83B4F"/>
    <w:rsid w:val="4AE27886"/>
    <w:rsid w:val="4AF173C4"/>
    <w:rsid w:val="4AF85A0C"/>
    <w:rsid w:val="4B0C1B43"/>
    <w:rsid w:val="4B170960"/>
    <w:rsid w:val="4B173E12"/>
    <w:rsid w:val="4B1A087A"/>
    <w:rsid w:val="4B227CC3"/>
    <w:rsid w:val="4B2D4BED"/>
    <w:rsid w:val="4B305DC5"/>
    <w:rsid w:val="4B321DDD"/>
    <w:rsid w:val="4B3A2DEC"/>
    <w:rsid w:val="4B3D4661"/>
    <w:rsid w:val="4B3D47E1"/>
    <w:rsid w:val="4B475C41"/>
    <w:rsid w:val="4B502036"/>
    <w:rsid w:val="4B66296C"/>
    <w:rsid w:val="4B84088D"/>
    <w:rsid w:val="4B8C0A18"/>
    <w:rsid w:val="4B8F2EA7"/>
    <w:rsid w:val="4B97319C"/>
    <w:rsid w:val="4BC42578"/>
    <w:rsid w:val="4BC7543B"/>
    <w:rsid w:val="4BCB7C8C"/>
    <w:rsid w:val="4BCC47C4"/>
    <w:rsid w:val="4BD67479"/>
    <w:rsid w:val="4BD76DDC"/>
    <w:rsid w:val="4BE971D1"/>
    <w:rsid w:val="4BF26074"/>
    <w:rsid w:val="4BFA5972"/>
    <w:rsid w:val="4C023EDF"/>
    <w:rsid w:val="4C172539"/>
    <w:rsid w:val="4C185E4A"/>
    <w:rsid w:val="4C1D509B"/>
    <w:rsid w:val="4C241572"/>
    <w:rsid w:val="4C2B2912"/>
    <w:rsid w:val="4C3D7547"/>
    <w:rsid w:val="4C3E7DC3"/>
    <w:rsid w:val="4C4F7103"/>
    <w:rsid w:val="4C5125BF"/>
    <w:rsid w:val="4C5B1FEA"/>
    <w:rsid w:val="4C5B6548"/>
    <w:rsid w:val="4C644064"/>
    <w:rsid w:val="4C7E3609"/>
    <w:rsid w:val="4C802292"/>
    <w:rsid w:val="4C87160B"/>
    <w:rsid w:val="4C910A93"/>
    <w:rsid w:val="4C984ECA"/>
    <w:rsid w:val="4C9D2EAA"/>
    <w:rsid w:val="4CB91384"/>
    <w:rsid w:val="4CE03ADC"/>
    <w:rsid w:val="4CE423A4"/>
    <w:rsid w:val="4CE65F06"/>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94FB8"/>
    <w:rsid w:val="4D6A3847"/>
    <w:rsid w:val="4D7D1374"/>
    <w:rsid w:val="4D8455BD"/>
    <w:rsid w:val="4D883D5F"/>
    <w:rsid w:val="4D9A71AB"/>
    <w:rsid w:val="4D9F5DC1"/>
    <w:rsid w:val="4DA07B43"/>
    <w:rsid w:val="4DB006C9"/>
    <w:rsid w:val="4DB261FF"/>
    <w:rsid w:val="4DC821DE"/>
    <w:rsid w:val="4DCE6177"/>
    <w:rsid w:val="4DFA6A27"/>
    <w:rsid w:val="4DFC75FA"/>
    <w:rsid w:val="4E0E2EE9"/>
    <w:rsid w:val="4E190962"/>
    <w:rsid w:val="4E2615C2"/>
    <w:rsid w:val="4E320A6E"/>
    <w:rsid w:val="4E3A59FE"/>
    <w:rsid w:val="4E462753"/>
    <w:rsid w:val="4E4C5E35"/>
    <w:rsid w:val="4E5415CC"/>
    <w:rsid w:val="4E55012B"/>
    <w:rsid w:val="4E564179"/>
    <w:rsid w:val="4E5E7C3E"/>
    <w:rsid w:val="4E625585"/>
    <w:rsid w:val="4E664D38"/>
    <w:rsid w:val="4E68570B"/>
    <w:rsid w:val="4E7F7874"/>
    <w:rsid w:val="4E804F98"/>
    <w:rsid w:val="4E874633"/>
    <w:rsid w:val="4E9227B8"/>
    <w:rsid w:val="4E997105"/>
    <w:rsid w:val="4EAB5162"/>
    <w:rsid w:val="4EB111C5"/>
    <w:rsid w:val="4ED169D5"/>
    <w:rsid w:val="4ED300E8"/>
    <w:rsid w:val="4EE344C8"/>
    <w:rsid w:val="4EE354DE"/>
    <w:rsid w:val="4EE67E4E"/>
    <w:rsid w:val="4EE836F7"/>
    <w:rsid w:val="4EED2AB2"/>
    <w:rsid w:val="4EF04603"/>
    <w:rsid w:val="4EFE4EEB"/>
    <w:rsid w:val="4F1C3ABD"/>
    <w:rsid w:val="4F1E414E"/>
    <w:rsid w:val="4F225FE9"/>
    <w:rsid w:val="4F2B719D"/>
    <w:rsid w:val="4F2C70F8"/>
    <w:rsid w:val="4F3311F6"/>
    <w:rsid w:val="4F457215"/>
    <w:rsid w:val="4F4B0EB8"/>
    <w:rsid w:val="4F4B77D3"/>
    <w:rsid w:val="4F56322F"/>
    <w:rsid w:val="4F6F594F"/>
    <w:rsid w:val="4F70214A"/>
    <w:rsid w:val="4FA84F42"/>
    <w:rsid w:val="4FAB6690"/>
    <w:rsid w:val="4FAF0C4E"/>
    <w:rsid w:val="4FC04A61"/>
    <w:rsid w:val="4FD12A40"/>
    <w:rsid w:val="4FD3042B"/>
    <w:rsid w:val="4FE560B6"/>
    <w:rsid w:val="4FF92E0C"/>
    <w:rsid w:val="4FFD18F5"/>
    <w:rsid w:val="50042CAC"/>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C6701"/>
    <w:rsid w:val="50930931"/>
    <w:rsid w:val="50AB21B2"/>
    <w:rsid w:val="50C5405F"/>
    <w:rsid w:val="50C96410"/>
    <w:rsid w:val="50CE0681"/>
    <w:rsid w:val="50D433FE"/>
    <w:rsid w:val="50DC746E"/>
    <w:rsid w:val="50E51D7F"/>
    <w:rsid w:val="50F67690"/>
    <w:rsid w:val="50F9383F"/>
    <w:rsid w:val="510928FD"/>
    <w:rsid w:val="510D199F"/>
    <w:rsid w:val="510F1839"/>
    <w:rsid w:val="5116589A"/>
    <w:rsid w:val="512D1B42"/>
    <w:rsid w:val="512D6C09"/>
    <w:rsid w:val="512F51BF"/>
    <w:rsid w:val="513371C4"/>
    <w:rsid w:val="51360A6C"/>
    <w:rsid w:val="514567F1"/>
    <w:rsid w:val="51503071"/>
    <w:rsid w:val="51636B4F"/>
    <w:rsid w:val="5166104C"/>
    <w:rsid w:val="51670285"/>
    <w:rsid w:val="51676981"/>
    <w:rsid w:val="5168564C"/>
    <w:rsid w:val="516F4B12"/>
    <w:rsid w:val="517D188E"/>
    <w:rsid w:val="51875FC0"/>
    <w:rsid w:val="51922569"/>
    <w:rsid w:val="51935A58"/>
    <w:rsid w:val="51A304C0"/>
    <w:rsid w:val="51A65DB5"/>
    <w:rsid w:val="51B61E13"/>
    <w:rsid w:val="51C027FE"/>
    <w:rsid w:val="51C65CD2"/>
    <w:rsid w:val="51D30FC1"/>
    <w:rsid w:val="51D46C91"/>
    <w:rsid w:val="51D706F9"/>
    <w:rsid w:val="51D813C5"/>
    <w:rsid w:val="51DA1C6E"/>
    <w:rsid w:val="51E5386E"/>
    <w:rsid w:val="51E954AE"/>
    <w:rsid w:val="51EB2AEB"/>
    <w:rsid w:val="51FB595A"/>
    <w:rsid w:val="52020ED2"/>
    <w:rsid w:val="5211587A"/>
    <w:rsid w:val="523B3DAB"/>
    <w:rsid w:val="524F7646"/>
    <w:rsid w:val="52553DC7"/>
    <w:rsid w:val="525A27CF"/>
    <w:rsid w:val="52665924"/>
    <w:rsid w:val="527146C2"/>
    <w:rsid w:val="528A178D"/>
    <w:rsid w:val="528B3AE6"/>
    <w:rsid w:val="529B664B"/>
    <w:rsid w:val="52AE14BF"/>
    <w:rsid w:val="52B35071"/>
    <w:rsid w:val="52B55E3D"/>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53489E"/>
    <w:rsid w:val="536A5A61"/>
    <w:rsid w:val="53815422"/>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A439AE"/>
    <w:rsid w:val="54B25F1B"/>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824170"/>
    <w:rsid w:val="55874924"/>
    <w:rsid w:val="558B69DA"/>
    <w:rsid w:val="55B0596A"/>
    <w:rsid w:val="55B71E91"/>
    <w:rsid w:val="55B7349B"/>
    <w:rsid w:val="55C3274F"/>
    <w:rsid w:val="55CB3100"/>
    <w:rsid w:val="55D40618"/>
    <w:rsid w:val="55DC5C37"/>
    <w:rsid w:val="560A50DA"/>
    <w:rsid w:val="560B688E"/>
    <w:rsid w:val="560C072C"/>
    <w:rsid w:val="561F5930"/>
    <w:rsid w:val="56212E95"/>
    <w:rsid w:val="565E34A3"/>
    <w:rsid w:val="565F3F32"/>
    <w:rsid w:val="56637CE7"/>
    <w:rsid w:val="56850F40"/>
    <w:rsid w:val="56910EC2"/>
    <w:rsid w:val="56A53A02"/>
    <w:rsid w:val="56AB2D87"/>
    <w:rsid w:val="56AD7759"/>
    <w:rsid w:val="56C62CE0"/>
    <w:rsid w:val="56E80850"/>
    <w:rsid w:val="56E92A0B"/>
    <w:rsid w:val="56F67EA0"/>
    <w:rsid w:val="56FE226C"/>
    <w:rsid w:val="5701350C"/>
    <w:rsid w:val="570227EB"/>
    <w:rsid w:val="5704334A"/>
    <w:rsid w:val="57267846"/>
    <w:rsid w:val="572A7045"/>
    <w:rsid w:val="57465E3C"/>
    <w:rsid w:val="574D6A49"/>
    <w:rsid w:val="57561509"/>
    <w:rsid w:val="57590623"/>
    <w:rsid w:val="575E0FC1"/>
    <w:rsid w:val="576F6390"/>
    <w:rsid w:val="578F288C"/>
    <w:rsid w:val="5799468B"/>
    <w:rsid w:val="579A0727"/>
    <w:rsid w:val="57A345B6"/>
    <w:rsid w:val="57A921C5"/>
    <w:rsid w:val="57B5108D"/>
    <w:rsid w:val="57D45539"/>
    <w:rsid w:val="57F5147F"/>
    <w:rsid w:val="57F52EBB"/>
    <w:rsid w:val="580A2643"/>
    <w:rsid w:val="58145CC9"/>
    <w:rsid w:val="5818451D"/>
    <w:rsid w:val="581F2B76"/>
    <w:rsid w:val="5825789C"/>
    <w:rsid w:val="583C1E7B"/>
    <w:rsid w:val="585E142C"/>
    <w:rsid w:val="585E5D36"/>
    <w:rsid w:val="586C3829"/>
    <w:rsid w:val="588732D9"/>
    <w:rsid w:val="588A3835"/>
    <w:rsid w:val="5891099B"/>
    <w:rsid w:val="58AA6AF5"/>
    <w:rsid w:val="58BC5E18"/>
    <w:rsid w:val="58C22FDA"/>
    <w:rsid w:val="58C47DC8"/>
    <w:rsid w:val="58CD3911"/>
    <w:rsid w:val="58E63B74"/>
    <w:rsid w:val="58EA1100"/>
    <w:rsid w:val="58EF1A72"/>
    <w:rsid w:val="58F60382"/>
    <w:rsid w:val="58FC7BCA"/>
    <w:rsid w:val="590C7035"/>
    <w:rsid w:val="59355917"/>
    <w:rsid w:val="594675AD"/>
    <w:rsid w:val="594D78C9"/>
    <w:rsid w:val="59532432"/>
    <w:rsid w:val="595B1F3E"/>
    <w:rsid w:val="596412BC"/>
    <w:rsid w:val="596909BC"/>
    <w:rsid w:val="597446F4"/>
    <w:rsid w:val="59761498"/>
    <w:rsid w:val="59774E15"/>
    <w:rsid w:val="59784285"/>
    <w:rsid w:val="597E1DF0"/>
    <w:rsid w:val="597E3B3B"/>
    <w:rsid w:val="59824446"/>
    <w:rsid w:val="5989472A"/>
    <w:rsid w:val="59932D84"/>
    <w:rsid w:val="599F0F68"/>
    <w:rsid w:val="59A1234A"/>
    <w:rsid w:val="59B3778B"/>
    <w:rsid w:val="59BC459E"/>
    <w:rsid w:val="59C074B6"/>
    <w:rsid w:val="59D06437"/>
    <w:rsid w:val="59E54352"/>
    <w:rsid w:val="59F226B7"/>
    <w:rsid w:val="5A0020CB"/>
    <w:rsid w:val="5A0275F4"/>
    <w:rsid w:val="5A0E3AAC"/>
    <w:rsid w:val="5A133C22"/>
    <w:rsid w:val="5A1C27BD"/>
    <w:rsid w:val="5A257C68"/>
    <w:rsid w:val="5A2B2AC9"/>
    <w:rsid w:val="5A381BFD"/>
    <w:rsid w:val="5A394ABD"/>
    <w:rsid w:val="5A3B0623"/>
    <w:rsid w:val="5A436F64"/>
    <w:rsid w:val="5A4E19C8"/>
    <w:rsid w:val="5A535139"/>
    <w:rsid w:val="5A5A2C17"/>
    <w:rsid w:val="5A5A73A2"/>
    <w:rsid w:val="5A693FCE"/>
    <w:rsid w:val="5A6F7A20"/>
    <w:rsid w:val="5A766824"/>
    <w:rsid w:val="5A7A4871"/>
    <w:rsid w:val="5A7A4A67"/>
    <w:rsid w:val="5A813050"/>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A5EE3"/>
    <w:rsid w:val="5B2D792C"/>
    <w:rsid w:val="5B3A75B7"/>
    <w:rsid w:val="5B58529B"/>
    <w:rsid w:val="5B5B29B9"/>
    <w:rsid w:val="5B6B6E59"/>
    <w:rsid w:val="5B6E3BB0"/>
    <w:rsid w:val="5B73520F"/>
    <w:rsid w:val="5B7A3778"/>
    <w:rsid w:val="5B8017A4"/>
    <w:rsid w:val="5B8541FA"/>
    <w:rsid w:val="5B8E0363"/>
    <w:rsid w:val="5B8E12C0"/>
    <w:rsid w:val="5B8F6A22"/>
    <w:rsid w:val="5B9C3EF8"/>
    <w:rsid w:val="5B9F64F7"/>
    <w:rsid w:val="5BAB0212"/>
    <w:rsid w:val="5BAC1ED4"/>
    <w:rsid w:val="5BB81B96"/>
    <w:rsid w:val="5BC5517C"/>
    <w:rsid w:val="5BD76839"/>
    <w:rsid w:val="5BE5096E"/>
    <w:rsid w:val="5BE56AAF"/>
    <w:rsid w:val="5BE72C87"/>
    <w:rsid w:val="5BF72643"/>
    <w:rsid w:val="5C033F06"/>
    <w:rsid w:val="5C134E8D"/>
    <w:rsid w:val="5C2E020D"/>
    <w:rsid w:val="5C2E62CA"/>
    <w:rsid w:val="5C394C3C"/>
    <w:rsid w:val="5C4F12FB"/>
    <w:rsid w:val="5C553A9B"/>
    <w:rsid w:val="5C57305F"/>
    <w:rsid w:val="5C5768F3"/>
    <w:rsid w:val="5C671F48"/>
    <w:rsid w:val="5C695437"/>
    <w:rsid w:val="5C790C77"/>
    <w:rsid w:val="5C79454C"/>
    <w:rsid w:val="5C7A2D0C"/>
    <w:rsid w:val="5C7A7BF4"/>
    <w:rsid w:val="5C905C78"/>
    <w:rsid w:val="5C9E4861"/>
    <w:rsid w:val="5CA377A3"/>
    <w:rsid w:val="5CA37EF3"/>
    <w:rsid w:val="5CA45C09"/>
    <w:rsid w:val="5CA53EFD"/>
    <w:rsid w:val="5CAB38B7"/>
    <w:rsid w:val="5CAF70F0"/>
    <w:rsid w:val="5CB248C0"/>
    <w:rsid w:val="5CB90818"/>
    <w:rsid w:val="5CE42BA3"/>
    <w:rsid w:val="5CFA7883"/>
    <w:rsid w:val="5D064E8A"/>
    <w:rsid w:val="5D0C4DBA"/>
    <w:rsid w:val="5D3C42C2"/>
    <w:rsid w:val="5D5D5CDA"/>
    <w:rsid w:val="5D616522"/>
    <w:rsid w:val="5D7F3BCE"/>
    <w:rsid w:val="5D8D6B9B"/>
    <w:rsid w:val="5D9215F3"/>
    <w:rsid w:val="5D93787A"/>
    <w:rsid w:val="5DA549FA"/>
    <w:rsid w:val="5DAD4EAE"/>
    <w:rsid w:val="5DAF7FF4"/>
    <w:rsid w:val="5DB30145"/>
    <w:rsid w:val="5DBC24FB"/>
    <w:rsid w:val="5DC30B34"/>
    <w:rsid w:val="5DC85A7A"/>
    <w:rsid w:val="5DCA4599"/>
    <w:rsid w:val="5DCE0DB2"/>
    <w:rsid w:val="5DD72A9C"/>
    <w:rsid w:val="5DDE1709"/>
    <w:rsid w:val="5DF33040"/>
    <w:rsid w:val="5E1158D0"/>
    <w:rsid w:val="5E1244C0"/>
    <w:rsid w:val="5E17539E"/>
    <w:rsid w:val="5E3C267D"/>
    <w:rsid w:val="5E52269F"/>
    <w:rsid w:val="5E7061BC"/>
    <w:rsid w:val="5E830714"/>
    <w:rsid w:val="5E852A0D"/>
    <w:rsid w:val="5E8E390F"/>
    <w:rsid w:val="5E947676"/>
    <w:rsid w:val="5EAA4D92"/>
    <w:rsid w:val="5ECE2A7B"/>
    <w:rsid w:val="5EDB6200"/>
    <w:rsid w:val="5EDC6896"/>
    <w:rsid w:val="5EE13F2F"/>
    <w:rsid w:val="5EF47452"/>
    <w:rsid w:val="5EF6150C"/>
    <w:rsid w:val="5EF752E6"/>
    <w:rsid w:val="5EFF7B12"/>
    <w:rsid w:val="5F050CE1"/>
    <w:rsid w:val="5F05489C"/>
    <w:rsid w:val="5F0815B3"/>
    <w:rsid w:val="5F0B24C7"/>
    <w:rsid w:val="5F242B04"/>
    <w:rsid w:val="5F260F28"/>
    <w:rsid w:val="5F2B2C91"/>
    <w:rsid w:val="5F305A55"/>
    <w:rsid w:val="5F3C5EDD"/>
    <w:rsid w:val="5F4331F2"/>
    <w:rsid w:val="5F481772"/>
    <w:rsid w:val="5F4E58D5"/>
    <w:rsid w:val="5F5A2572"/>
    <w:rsid w:val="5F667906"/>
    <w:rsid w:val="5F6807FE"/>
    <w:rsid w:val="5F71084C"/>
    <w:rsid w:val="5F79544E"/>
    <w:rsid w:val="5F826F22"/>
    <w:rsid w:val="5F8B6F6C"/>
    <w:rsid w:val="5F9974CC"/>
    <w:rsid w:val="5FB24DAB"/>
    <w:rsid w:val="5FB87F99"/>
    <w:rsid w:val="5FE00CF1"/>
    <w:rsid w:val="5FE14A06"/>
    <w:rsid w:val="5FE474BE"/>
    <w:rsid w:val="5FEB0564"/>
    <w:rsid w:val="600033ED"/>
    <w:rsid w:val="60052D92"/>
    <w:rsid w:val="601226B0"/>
    <w:rsid w:val="602118F7"/>
    <w:rsid w:val="60211E1F"/>
    <w:rsid w:val="6031327A"/>
    <w:rsid w:val="60365A38"/>
    <w:rsid w:val="603B3FDB"/>
    <w:rsid w:val="603E3647"/>
    <w:rsid w:val="604010F4"/>
    <w:rsid w:val="604D518A"/>
    <w:rsid w:val="60553C4D"/>
    <w:rsid w:val="60685658"/>
    <w:rsid w:val="608360E1"/>
    <w:rsid w:val="608465DC"/>
    <w:rsid w:val="608A0330"/>
    <w:rsid w:val="60A27999"/>
    <w:rsid w:val="60A95255"/>
    <w:rsid w:val="60C5112D"/>
    <w:rsid w:val="60D22DB9"/>
    <w:rsid w:val="60D85FA9"/>
    <w:rsid w:val="60E07B47"/>
    <w:rsid w:val="60E851A8"/>
    <w:rsid w:val="60EF6AA4"/>
    <w:rsid w:val="60F013D1"/>
    <w:rsid w:val="60F469BB"/>
    <w:rsid w:val="60F6122B"/>
    <w:rsid w:val="60F92DF3"/>
    <w:rsid w:val="60FF4C83"/>
    <w:rsid w:val="611D4F91"/>
    <w:rsid w:val="613800B1"/>
    <w:rsid w:val="613E5A3C"/>
    <w:rsid w:val="61430455"/>
    <w:rsid w:val="61484E3B"/>
    <w:rsid w:val="616052D4"/>
    <w:rsid w:val="617440B0"/>
    <w:rsid w:val="6175731A"/>
    <w:rsid w:val="618849FE"/>
    <w:rsid w:val="61AE23F8"/>
    <w:rsid w:val="61B57FD3"/>
    <w:rsid w:val="61C15B92"/>
    <w:rsid w:val="61C53DC2"/>
    <w:rsid w:val="61C9364E"/>
    <w:rsid w:val="61E624CA"/>
    <w:rsid w:val="61E73B74"/>
    <w:rsid w:val="61FE3DB5"/>
    <w:rsid w:val="620252F5"/>
    <w:rsid w:val="620454C0"/>
    <w:rsid w:val="620E5E71"/>
    <w:rsid w:val="621C3E5F"/>
    <w:rsid w:val="622E5BC9"/>
    <w:rsid w:val="623E5348"/>
    <w:rsid w:val="624A3F26"/>
    <w:rsid w:val="624D1488"/>
    <w:rsid w:val="625E4DFA"/>
    <w:rsid w:val="625F1A24"/>
    <w:rsid w:val="6268132D"/>
    <w:rsid w:val="62792F1B"/>
    <w:rsid w:val="627F07F5"/>
    <w:rsid w:val="62817CD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26229B"/>
    <w:rsid w:val="632819E0"/>
    <w:rsid w:val="632E6DD3"/>
    <w:rsid w:val="632F6AC8"/>
    <w:rsid w:val="63413B6B"/>
    <w:rsid w:val="634853EE"/>
    <w:rsid w:val="634C4DEC"/>
    <w:rsid w:val="635C5206"/>
    <w:rsid w:val="635D53DA"/>
    <w:rsid w:val="63736289"/>
    <w:rsid w:val="63794F67"/>
    <w:rsid w:val="6383457B"/>
    <w:rsid w:val="63851F53"/>
    <w:rsid w:val="63856709"/>
    <w:rsid w:val="6390725A"/>
    <w:rsid w:val="63976278"/>
    <w:rsid w:val="63983E9E"/>
    <w:rsid w:val="639A2AB3"/>
    <w:rsid w:val="63AC72F1"/>
    <w:rsid w:val="63B31FD2"/>
    <w:rsid w:val="63BB5FA5"/>
    <w:rsid w:val="63C31D17"/>
    <w:rsid w:val="63D50F7F"/>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10A06"/>
    <w:rsid w:val="65B5119E"/>
    <w:rsid w:val="65C02078"/>
    <w:rsid w:val="65C81C1E"/>
    <w:rsid w:val="65CC3F6A"/>
    <w:rsid w:val="65D14DFF"/>
    <w:rsid w:val="65D3257B"/>
    <w:rsid w:val="65D4196B"/>
    <w:rsid w:val="65D50E14"/>
    <w:rsid w:val="65D910C5"/>
    <w:rsid w:val="65E51558"/>
    <w:rsid w:val="65EA2F41"/>
    <w:rsid w:val="65FD7F9D"/>
    <w:rsid w:val="66085374"/>
    <w:rsid w:val="66181FB9"/>
    <w:rsid w:val="66303BC5"/>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315B4"/>
    <w:rsid w:val="66C93E09"/>
    <w:rsid w:val="66CC1854"/>
    <w:rsid w:val="66CD420D"/>
    <w:rsid w:val="66CD5192"/>
    <w:rsid w:val="66D0069F"/>
    <w:rsid w:val="66DB1F98"/>
    <w:rsid w:val="66DE14C2"/>
    <w:rsid w:val="66E923B0"/>
    <w:rsid w:val="66E933A2"/>
    <w:rsid w:val="66EB786A"/>
    <w:rsid w:val="66EE7D47"/>
    <w:rsid w:val="67125C17"/>
    <w:rsid w:val="67125F61"/>
    <w:rsid w:val="671B4752"/>
    <w:rsid w:val="672126C6"/>
    <w:rsid w:val="67400856"/>
    <w:rsid w:val="6740498C"/>
    <w:rsid w:val="674129EA"/>
    <w:rsid w:val="67470DDB"/>
    <w:rsid w:val="674753BC"/>
    <w:rsid w:val="674C2C15"/>
    <w:rsid w:val="674C3BE6"/>
    <w:rsid w:val="674D4CA8"/>
    <w:rsid w:val="674F4C2B"/>
    <w:rsid w:val="675B7263"/>
    <w:rsid w:val="678A22B2"/>
    <w:rsid w:val="67D36CC8"/>
    <w:rsid w:val="67E82AF4"/>
    <w:rsid w:val="67E919DD"/>
    <w:rsid w:val="67E91CA4"/>
    <w:rsid w:val="67ED23BF"/>
    <w:rsid w:val="67F92004"/>
    <w:rsid w:val="67FF429B"/>
    <w:rsid w:val="681719E7"/>
    <w:rsid w:val="681B56DB"/>
    <w:rsid w:val="6829718E"/>
    <w:rsid w:val="682F3465"/>
    <w:rsid w:val="6837073E"/>
    <w:rsid w:val="685913A3"/>
    <w:rsid w:val="68606BC4"/>
    <w:rsid w:val="686D63A3"/>
    <w:rsid w:val="68747F15"/>
    <w:rsid w:val="687C217A"/>
    <w:rsid w:val="688246CA"/>
    <w:rsid w:val="688E20CA"/>
    <w:rsid w:val="68A11CA0"/>
    <w:rsid w:val="68AB108F"/>
    <w:rsid w:val="68B168EB"/>
    <w:rsid w:val="68C821D2"/>
    <w:rsid w:val="68CF5671"/>
    <w:rsid w:val="68DE5A80"/>
    <w:rsid w:val="68E756D0"/>
    <w:rsid w:val="68EA7219"/>
    <w:rsid w:val="68FB4F38"/>
    <w:rsid w:val="69395264"/>
    <w:rsid w:val="69431966"/>
    <w:rsid w:val="694E1C99"/>
    <w:rsid w:val="69600D0D"/>
    <w:rsid w:val="696729BD"/>
    <w:rsid w:val="69751858"/>
    <w:rsid w:val="697A134E"/>
    <w:rsid w:val="698062B3"/>
    <w:rsid w:val="698A0BBA"/>
    <w:rsid w:val="698F415E"/>
    <w:rsid w:val="69900AD2"/>
    <w:rsid w:val="699F5605"/>
    <w:rsid w:val="69A13EEE"/>
    <w:rsid w:val="69B0204E"/>
    <w:rsid w:val="69B1205D"/>
    <w:rsid w:val="69B12FC2"/>
    <w:rsid w:val="69B856F0"/>
    <w:rsid w:val="69BB41F9"/>
    <w:rsid w:val="69CC6909"/>
    <w:rsid w:val="69CD2A1C"/>
    <w:rsid w:val="69CE22A9"/>
    <w:rsid w:val="69EE48EA"/>
    <w:rsid w:val="69F06395"/>
    <w:rsid w:val="69FC2934"/>
    <w:rsid w:val="6A022171"/>
    <w:rsid w:val="6A041DFD"/>
    <w:rsid w:val="6A086C98"/>
    <w:rsid w:val="6A154EC9"/>
    <w:rsid w:val="6A240963"/>
    <w:rsid w:val="6A335FB4"/>
    <w:rsid w:val="6A3C3895"/>
    <w:rsid w:val="6A403559"/>
    <w:rsid w:val="6A4C22BE"/>
    <w:rsid w:val="6A72054B"/>
    <w:rsid w:val="6A73588D"/>
    <w:rsid w:val="6A7C4A66"/>
    <w:rsid w:val="6A907A62"/>
    <w:rsid w:val="6A984C02"/>
    <w:rsid w:val="6AA7774E"/>
    <w:rsid w:val="6AB2575A"/>
    <w:rsid w:val="6ABB0179"/>
    <w:rsid w:val="6ABF21EA"/>
    <w:rsid w:val="6AC054AC"/>
    <w:rsid w:val="6AD44D56"/>
    <w:rsid w:val="6ADB28CA"/>
    <w:rsid w:val="6ADF4B05"/>
    <w:rsid w:val="6AEF3919"/>
    <w:rsid w:val="6B02166D"/>
    <w:rsid w:val="6B0C591F"/>
    <w:rsid w:val="6B115FD5"/>
    <w:rsid w:val="6B151290"/>
    <w:rsid w:val="6B234377"/>
    <w:rsid w:val="6B254633"/>
    <w:rsid w:val="6B2B3653"/>
    <w:rsid w:val="6B2E30AF"/>
    <w:rsid w:val="6B36436A"/>
    <w:rsid w:val="6B455344"/>
    <w:rsid w:val="6B467A08"/>
    <w:rsid w:val="6B736003"/>
    <w:rsid w:val="6B7B299A"/>
    <w:rsid w:val="6B8F07B0"/>
    <w:rsid w:val="6B940773"/>
    <w:rsid w:val="6BBA3CAB"/>
    <w:rsid w:val="6BD520AE"/>
    <w:rsid w:val="6BE765A1"/>
    <w:rsid w:val="6BEF0DFE"/>
    <w:rsid w:val="6C0A6AC9"/>
    <w:rsid w:val="6C0B2D4A"/>
    <w:rsid w:val="6C0B47B1"/>
    <w:rsid w:val="6C157C2A"/>
    <w:rsid w:val="6C19738F"/>
    <w:rsid w:val="6C296569"/>
    <w:rsid w:val="6C2B05CF"/>
    <w:rsid w:val="6C31592F"/>
    <w:rsid w:val="6C4838E8"/>
    <w:rsid w:val="6C67455B"/>
    <w:rsid w:val="6C683D01"/>
    <w:rsid w:val="6C6F2600"/>
    <w:rsid w:val="6C8968BF"/>
    <w:rsid w:val="6C8B0873"/>
    <w:rsid w:val="6C8F4878"/>
    <w:rsid w:val="6C910912"/>
    <w:rsid w:val="6C914362"/>
    <w:rsid w:val="6C920376"/>
    <w:rsid w:val="6C961A12"/>
    <w:rsid w:val="6C967404"/>
    <w:rsid w:val="6C9A553D"/>
    <w:rsid w:val="6CAE091F"/>
    <w:rsid w:val="6CEB2637"/>
    <w:rsid w:val="6CF75960"/>
    <w:rsid w:val="6D304193"/>
    <w:rsid w:val="6D3143C9"/>
    <w:rsid w:val="6D47574B"/>
    <w:rsid w:val="6D493467"/>
    <w:rsid w:val="6D4F20DA"/>
    <w:rsid w:val="6D501C72"/>
    <w:rsid w:val="6D82023F"/>
    <w:rsid w:val="6D893DF8"/>
    <w:rsid w:val="6D9173A3"/>
    <w:rsid w:val="6D946ADD"/>
    <w:rsid w:val="6D975A6F"/>
    <w:rsid w:val="6D9C7751"/>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909B5"/>
    <w:rsid w:val="6E5F4894"/>
    <w:rsid w:val="6E7D0CD5"/>
    <w:rsid w:val="6E7F4855"/>
    <w:rsid w:val="6E9438DA"/>
    <w:rsid w:val="6EC445EB"/>
    <w:rsid w:val="6EC62BB9"/>
    <w:rsid w:val="6EE02327"/>
    <w:rsid w:val="6EEE1C47"/>
    <w:rsid w:val="6F027265"/>
    <w:rsid w:val="6F227936"/>
    <w:rsid w:val="6F4420C0"/>
    <w:rsid w:val="6F4B5681"/>
    <w:rsid w:val="6F562C68"/>
    <w:rsid w:val="6F5923CB"/>
    <w:rsid w:val="6F705C49"/>
    <w:rsid w:val="6F754D53"/>
    <w:rsid w:val="6F7E555F"/>
    <w:rsid w:val="6FCD10B1"/>
    <w:rsid w:val="6FEE6966"/>
    <w:rsid w:val="6FF51B23"/>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C15E0"/>
    <w:rsid w:val="70E72D65"/>
    <w:rsid w:val="70F229D5"/>
    <w:rsid w:val="70FA726D"/>
    <w:rsid w:val="71023D34"/>
    <w:rsid w:val="71031766"/>
    <w:rsid w:val="710C1CD5"/>
    <w:rsid w:val="71112BCC"/>
    <w:rsid w:val="711805BC"/>
    <w:rsid w:val="7130053F"/>
    <w:rsid w:val="714E4238"/>
    <w:rsid w:val="715B5787"/>
    <w:rsid w:val="716B70C7"/>
    <w:rsid w:val="71870E85"/>
    <w:rsid w:val="718A5A38"/>
    <w:rsid w:val="718B3F92"/>
    <w:rsid w:val="718B7F25"/>
    <w:rsid w:val="719300D9"/>
    <w:rsid w:val="71981496"/>
    <w:rsid w:val="719C0024"/>
    <w:rsid w:val="71A85840"/>
    <w:rsid w:val="71AF72D9"/>
    <w:rsid w:val="71B304BD"/>
    <w:rsid w:val="71BB0726"/>
    <w:rsid w:val="71CA49B4"/>
    <w:rsid w:val="71DA44A8"/>
    <w:rsid w:val="71E108F1"/>
    <w:rsid w:val="721644EE"/>
    <w:rsid w:val="72192802"/>
    <w:rsid w:val="725170B9"/>
    <w:rsid w:val="72652FD8"/>
    <w:rsid w:val="72702AD5"/>
    <w:rsid w:val="72814A6A"/>
    <w:rsid w:val="72895AFB"/>
    <w:rsid w:val="728A0F66"/>
    <w:rsid w:val="728B3781"/>
    <w:rsid w:val="729C0C09"/>
    <w:rsid w:val="72A97C0B"/>
    <w:rsid w:val="72B92853"/>
    <w:rsid w:val="72BC0C00"/>
    <w:rsid w:val="72BC35A8"/>
    <w:rsid w:val="72C04B88"/>
    <w:rsid w:val="72C25E97"/>
    <w:rsid w:val="72C774E4"/>
    <w:rsid w:val="72D22D85"/>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A07D14"/>
    <w:rsid w:val="73A37249"/>
    <w:rsid w:val="73B05C38"/>
    <w:rsid w:val="73B3145E"/>
    <w:rsid w:val="73BA177D"/>
    <w:rsid w:val="73CD4C78"/>
    <w:rsid w:val="73DB3840"/>
    <w:rsid w:val="73E916C3"/>
    <w:rsid w:val="74237A83"/>
    <w:rsid w:val="742767AC"/>
    <w:rsid w:val="74287ED3"/>
    <w:rsid w:val="742C0D50"/>
    <w:rsid w:val="74342C68"/>
    <w:rsid w:val="7459716B"/>
    <w:rsid w:val="74636424"/>
    <w:rsid w:val="746F484B"/>
    <w:rsid w:val="74741DE4"/>
    <w:rsid w:val="74850E8C"/>
    <w:rsid w:val="748D0043"/>
    <w:rsid w:val="74943764"/>
    <w:rsid w:val="749A2D47"/>
    <w:rsid w:val="749C7F86"/>
    <w:rsid w:val="74B53010"/>
    <w:rsid w:val="74BD0EF3"/>
    <w:rsid w:val="74BF66AE"/>
    <w:rsid w:val="74D620A2"/>
    <w:rsid w:val="74DA2654"/>
    <w:rsid w:val="74DE1BB0"/>
    <w:rsid w:val="74E61DA0"/>
    <w:rsid w:val="74E6645D"/>
    <w:rsid w:val="74E900EE"/>
    <w:rsid w:val="74F138AB"/>
    <w:rsid w:val="751D2382"/>
    <w:rsid w:val="751E575D"/>
    <w:rsid w:val="75231F20"/>
    <w:rsid w:val="752D5FBA"/>
    <w:rsid w:val="752E658E"/>
    <w:rsid w:val="75381E30"/>
    <w:rsid w:val="753F2CEC"/>
    <w:rsid w:val="7545799F"/>
    <w:rsid w:val="754F0CB0"/>
    <w:rsid w:val="75516C90"/>
    <w:rsid w:val="75527C42"/>
    <w:rsid w:val="755C0571"/>
    <w:rsid w:val="756A63FE"/>
    <w:rsid w:val="7579051C"/>
    <w:rsid w:val="75806479"/>
    <w:rsid w:val="7582676A"/>
    <w:rsid w:val="7587145C"/>
    <w:rsid w:val="75891AEA"/>
    <w:rsid w:val="758A18AA"/>
    <w:rsid w:val="758B791F"/>
    <w:rsid w:val="75911551"/>
    <w:rsid w:val="75A327A3"/>
    <w:rsid w:val="75C4240E"/>
    <w:rsid w:val="75C440B3"/>
    <w:rsid w:val="75D32685"/>
    <w:rsid w:val="75EE088F"/>
    <w:rsid w:val="75F025ED"/>
    <w:rsid w:val="760466E4"/>
    <w:rsid w:val="761A26B7"/>
    <w:rsid w:val="762454A4"/>
    <w:rsid w:val="764444F1"/>
    <w:rsid w:val="764A7774"/>
    <w:rsid w:val="765D4AD1"/>
    <w:rsid w:val="765E4E18"/>
    <w:rsid w:val="766524E1"/>
    <w:rsid w:val="76653F89"/>
    <w:rsid w:val="766B694C"/>
    <w:rsid w:val="76760B44"/>
    <w:rsid w:val="767D3B60"/>
    <w:rsid w:val="76840AC7"/>
    <w:rsid w:val="76896901"/>
    <w:rsid w:val="768E5068"/>
    <w:rsid w:val="76991C80"/>
    <w:rsid w:val="76C400BA"/>
    <w:rsid w:val="76D1769B"/>
    <w:rsid w:val="76D4283F"/>
    <w:rsid w:val="76D8398E"/>
    <w:rsid w:val="76D874E2"/>
    <w:rsid w:val="76DD5C06"/>
    <w:rsid w:val="76DE03A3"/>
    <w:rsid w:val="76DF29FA"/>
    <w:rsid w:val="76E16C26"/>
    <w:rsid w:val="76F540BE"/>
    <w:rsid w:val="76F93EFA"/>
    <w:rsid w:val="76FC0BF4"/>
    <w:rsid w:val="77044C8B"/>
    <w:rsid w:val="77104F9B"/>
    <w:rsid w:val="77143EE3"/>
    <w:rsid w:val="771B39AA"/>
    <w:rsid w:val="7723230F"/>
    <w:rsid w:val="77452C20"/>
    <w:rsid w:val="77495AA5"/>
    <w:rsid w:val="775419AB"/>
    <w:rsid w:val="77555644"/>
    <w:rsid w:val="77686D29"/>
    <w:rsid w:val="777B1188"/>
    <w:rsid w:val="777E2922"/>
    <w:rsid w:val="778761D5"/>
    <w:rsid w:val="778D74D5"/>
    <w:rsid w:val="778F263A"/>
    <w:rsid w:val="77947D96"/>
    <w:rsid w:val="77962650"/>
    <w:rsid w:val="779E458F"/>
    <w:rsid w:val="77A32285"/>
    <w:rsid w:val="77A4365E"/>
    <w:rsid w:val="77A75CFF"/>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57493"/>
    <w:rsid w:val="78C81151"/>
    <w:rsid w:val="78CB1DF2"/>
    <w:rsid w:val="78DA053F"/>
    <w:rsid w:val="78EC7203"/>
    <w:rsid w:val="78ED5DE0"/>
    <w:rsid w:val="78F110C9"/>
    <w:rsid w:val="78F36467"/>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FE1C3E"/>
    <w:rsid w:val="7A180DB7"/>
    <w:rsid w:val="7A1A4A5F"/>
    <w:rsid w:val="7A220833"/>
    <w:rsid w:val="7A2444ED"/>
    <w:rsid w:val="7A3D44B1"/>
    <w:rsid w:val="7A435871"/>
    <w:rsid w:val="7A462073"/>
    <w:rsid w:val="7A4E35A1"/>
    <w:rsid w:val="7A4E50BF"/>
    <w:rsid w:val="7A524EF1"/>
    <w:rsid w:val="7A5A72B4"/>
    <w:rsid w:val="7A5C2415"/>
    <w:rsid w:val="7A5D4266"/>
    <w:rsid w:val="7AB16A2F"/>
    <w:rsid w:val="7AB76AC1"/>
    <w:rsid w:val="7AC228D1"/>
    <w:rsid w:val="7ACE5B62"/>
    <w:rsid w:val="7AD031E0"/>
    <w:rsid w:val="7AD611BC"/>
    <w:rsid w:val="7ADF476A"/>
    <w:rsid w:val="7AE850B5"/>
    <w:rsid w:val="7AEE5090"/>
    <w:rsid w:val="7B072901"/>
    <w:rsid w:val="7B0A33BA"/>
    <w:rsid w:val="7B1C1DE2"/>
    <w:rsid w:val="7B3745EE"/>
    <w:rsid w:val="7B394097"/>
    <w:rsid w:val="7B3D36BE"/>
    <w:rsid w:val="7B4765E1"/>
    <w:rsid w:val="7B49408A"/>
    <w:rsid w:val="7B4F18F6"/>
    <w:rsid w:val="7B550D58"/>
    <w:rsid w:val="7B6A7649"/>
    <w:rsid w:val="7B782762"/>
    <w:rsid w:val="7B897D0E"/>
    <w:rsid w:val="7B8D3493"/>
    <w:rsid w:val="7BA60971"/>
    <w:rsid w:val="7BAE4F92"/>
    <w:rsid w:val="7BB41DE1"/>
    <w:rsid w:val="7BBB4037"/>
    <w:rsid w:val="7BBF12E0"/>
    <w:rsid w:val="7BD310C0"/>
    <w:rsid w:val="7BEF5CDA"/>
    <w:rsid w:val="7C0A6EEC"/>
    <w:rsid w:val="7C0C7C74"/>
    <w:rsid w:val="7C157D59"/>
    <w:rsid w:val="7C16135F"/>
    <w:rsid w:val="7C18376F"/>
    <w:rsid w:val="7C2D4A08"/>
    <w:rsid w:val="7C341C67"/>
    <w:rsid w:val="7C374CC3"/>
    <w:rsid w:val="7C3940D3"/>
    <w:rsid w:val="7C3F7CBE"/>
    <w:rsid w:val="7C403BB3"/>
    <w:rsid w:val="7C410644"/>
    <w:rsid w:val="7C4F4D7D"/>
    <w:rsid w:val="7C566918"/>
    <w:rsid w:val="7C5E0F9F"/>
    <w:rsid w:val="7C880AF4"/>
    <w:rsid w:val="7C894DA4"/>
    <w:rsid w:val="7CA25A11"/>
    <w:rsid w:val="7CAA5048"/>
    <w:rsid w:val="7CCD4836"/>
    <w:rsid w:val="7CD65610"/>
    <w:rsid w:val="7CDE73E1"/>
    <w:rsid w:val="7CED1392"/>
    <w:rsid w:val="7CF74207"/>
    <w:rsid w:val="7D13002B"/>
    <w:rsid w:val="7D2D13A8"/>
    <w:rsid w:val="7D3126F3"/>
    <w:rsid w:val="7D35110B"/>
    <w:rsid w:val="7D385AC2"/>
    <w:rsid w:val="7D3D2A50"/>
    <w:rsid w:val="7D583DB7"/>
    <w:rsid w:val="7D594814"/>
    <w:rsid w:val="7D5C3528"/>
    <w:rsid w:val="7D6679BE"/>
    <w:rsid w:val="7D6A6437"/>
    <w:rsid w:val="7D732D89"/>
    <w:rsid w:val="7D7E09DF"/>
    <w:rsid w:val="7D8121AD"/>
    <w:rsid w:val="7D8F01D1"/>
    <w:rsid w:val="7D957A1A"/>
    <w:rsid w:val="7D972A13"/>
    <w:rsid w:val="7D9733CF"/>
    <w:rsid w:val="7DA97A08"/>
    <w:rsid w:val="7DD855F8"/>
    <w:rsid w:val="7DE52205"/>
    <w:rsid w:val="7DE76494"/>
    <w:rsid w:val="7DF10C86"/>
    <w:rsid w:val="7E064EB0"/>
    <w:rsid w:val="7E065AB0"/>
    <w:rsid w:val="7E1D675D"/>
    <w:rsid w:val="7E277932"/>
    <w:rsid w:val="7E463E00"/>
    <w:rsid w:val="7E472467"/>
    <w:rsid w:val="7E48782A"/>
    <w:rsid w:val="7E561002"/>
    <w:rsid w:val="7E731AA0"/>
    <w:rsid w:val="7E735305"/>
    <w:rsid w:val="7E887E27"/>
    <w:rsid w:val="7E896B80"/>
    <w:rsid w:val="7E8B09E2"/>
    <w:rsid w:val="7E8C3110"/>
    <w:rsid w:val="7E9A490B"/>
    <w:rsid w:val="7E9F3EA5"/>
    <w:rsid w:val="7EA058ED"/>
    <w:rsid w:val="7EA9579B"/>
    <w:rsid w:val="7EDD10A4"/>
    <w:rsid w:val="7EE25DD6"/>
    <w:rsid w:val="7EF12704"/>
    <w:rsid w:val="7EF1460C"/>
    <w:rsid w:val="7EFD6891"/>
    <w:rsid w:val="7EFE6AB0"/>
    <w:rsid w:val="7F083B96"/>
    <w:rsid w:val="7F134665"/>
    <w:rsid w:val="7F435C57"/>
    <w:rsid w:val="7F471A13"/>
    <w:rsid w:val="7F4878E2"/>
    <w:rsid w:val="7F5B6E89"/>
    <w:rsid w:val="7F690FDC"/>
    <w:rsid w:val="7F6F0500"/>
    <w:rsid w:val="7F7F0020"/>
    <w:rsid w:val="7F804746"/>
    <w:rsid w:val="7FA7748E"/>
    <w:rsid w:val="7FAA0EFB"/>
    <w:rsid w:val="7FB912EF"/>
    <w:rsid w:val="7FC101C1"/>
    <w:rsid w:val="7FC14363"/>
    <w:rsid w:val="7FC97FEB"/>
    <w:rsid w:val="7FD516E3"/>
    <w:rsid w:val="7FDB4491"/>
    <w:rsid w:val="7FDD3257"/>
    <w:rsid w:val="7FE03869"/>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42"/>
    <w:qFormat/>
    <w:uiPriority w:val="0"/>
    <w:pPr>
      <w:spacing w:line="480" w:lineRule="atLeast"/>
      <w:outlineLvl w:val="0"/>
    </w:pPr>
    <w:rPr>
      <w:rFonts w:ascii="宋体" w:hAnsi="宋体" w:eastAsia="宋体"/>
      <w:b/>
      <w:sz w:val="30"/>
      <w:szCs w:val="30"/>
    </w:rPr>
  </w:style>
  <w:style w:type="paragraph" w:styleId="6">
    <w:name w:val="heading 2"/>
    <w:basedOn w:val="5"/>
    <w:next w:val="1"/>
    <w:link w:val="43"/>
    <w:qFormat/>
    <w:uiPriority w:val="0"/>
    <w:pPr>
      <w:outlineLvl w:val="1"/>
    </w:pPr>
    <w:rPr>
      <w:sz w:val="28"/>
    </w:rPr>
  </w:style>
  <w:style w:type="paragraph" w:styleId="7">
    <w:name w:val="heading 3"/>
    <w:basedOn w:val="1"/>
    <w:next w:val="1"/>
    <w:link w:val="44"/>
    <w:qFormat/>
    <w:uiPriority w:val="0"/>
    <w:pPr>
      <w:spacing w:line="480" w:lineRule="atLeast"/>
      <w:outlineLvl w:val="2"/>
    </w:pPr>
    <w:rPr>
      <w:rFonts w:ascii="宋体" w:hAnsi="宋体" w:eastAsia="宋体"/>
      <w:sz w:val="24"/>
      <w:szCs w:val="24"/>
    </w:rPr>
  </w:style>
  <w:style w:type="paragraph" w:styleId="8">
    <w:name w:val="heading 4"/>
    <w:basedOn w:val="1"/>
    <w:next w:val="1"/>
    <w:link w:val="45"/>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0"/>
    <w:qFormat/>
    <w:uiPriority w:val="0"/>
    <w:pPr>
      <w:ind w:firstLine="420" w:firstLineChars="200"/>
    </w:pPr>
    <w:rPr>
      <w:rFonts w:eastAsia="宋体"/>
      <w:szCs w:val="24"/>
    </w:rPr>
  </w:style>
  <w:style w:type="paragraph" w:customStyle="1" w:styleId="3">
    <w:name w:val="样式 正文文本 + 首行缩进:  2 字符"/>
    <w:basedOn w:val="4"/>
    <w:qFormat/>
    <w:uiPriority w:val="99"/>
    <w:pPr>
      <w:spacing w:after="200" w:line="480" w:lineRule="exact"/>
      <w:ind w:firstLine="480" w:firstLineChars="200"/>
    </w:pPr>
    <w:rPr>
      <w:rFonts w:ascii="宋体" w:hAnsi="宋体" w:eastAsia="宋体" w:cs="Times New Roman"/>
      <w:sz w:val="24"/>
      <w:lang w:val="en-US" w:eastAsia="zh-CN" w:bidi="ar-SA"/>
    </w:rPr>
  </w:style>
  <w:style w:type="paragraph" w:styleId="4">
    <w:name w:val="Body Text"/>
    <w:basedOn w:val="1"/>
    <w:link w:val="79"/>
    <w:qFormat/>
    <w:uiPriority w:val="0"/>
    <w:rPr>
      <w:rFonts w:ascii="Times New Roman" w:hAnsi="Times New Roman" w:eastAsia="宋体" w:cs="Times New Roman"/>
      <w:sz w:val="32"/>
      <w:szCs w:val="20"/>
    </w:rPr>
  </w:style>
  <w:style w:type="paragraph" w:styleId="9">
    <w:name w:val="caption"/>
    <w:basedOn w:val="1"/>
    <w:next w:val="1"/>
    <w:link w:val="71"/>
    <w:qFormat/>
    <w:uiPriority w:val="0"/>
    <w:pPr>
      <w:jc w:val="center"/>
    </w:pPr>
    <w:rPr>
      <w:rFonts w:ascii="宋体" w:hAnsi="Arial" w:eastAsia="宋体" w:cs="Arial"/>
    </w:rPr>
  </w:style>
  <w:style w:type="paragraph" w:styleId="10">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4"/>
    <w:qFormat/>
    <w:uiPriority w:val="0"/>
    <w:pPr>
      <w:jc w:val="left"/>
    </w:pPr>
    <w:rPr>
      <w:szCs w:val="24"/>
    </w:rPr>
  </w:style>
  <w:style w:type="paragraph" w:styleId="12">
    <w:name w:val="Body Text 3"/>
    <w:basedOn w:val="1"/>
    <w:link w:val="75"/>
    <w:qFormat/>
    <w:uiPriority w:val="0"/>
    <w:pPr>
      <w:spacing w:after="120"/>
    </w:pPr>
    <w:rPr>
      <w:rFonts w:ascii="Times New Roman" w:hAnsi="Times New Roman" w:eastAsia="宋体" w:cs="Times New Roman"/>
      <w:sz w:val="16"/>
      <w:szCs w:val="16"/>
    </w:rPr>
  </w:style>
  <w:style w:type="paragraph" w:styleId="13">
    <w:name w:val="Body Text Indent"/>
    <w:basedOn w:val="1"/>
    <w:next w:val="14"/>
    <w:link w:val="80"/>
    <w:qFormat/>
    <w:uiPriority w:val="0"/>
    <w:pPr>
      <w:spacing w:line="300" w:lineRule="exact"/>
      <w:ind w:firstLine="538"/>
    </w:pPr>
    <w:rPr>
      <w:rFonts w:ascii="宋体" w:hAnsi="Times New Roman" w:eastAsia="宋体" w:cs="Times New Roman"/>
      <w:sz w:val="24"/>
      <w:szCs w:val="24"/>
    </w:rPr>
  </w:style>
  <w:style w:type="paragraph" w:styleId="14">
    <w:name w:val="header"/>
    <w:basedOn w:val="1"/>
    <w:next w:val="15"/>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5">
    <w:name w:val="样式5"/>
    <w:basedOn w:val="16"/>
    <w:qFormat/>
    <w:uiPriority w:val="0"/>
    <w:pPr>
      <w:snapToGrid w:val="0"/>
      <w:spacing w:beforeLines="20" w:afterLines="20" w:line="480" w:lineRule="exact"/>
      <w:ind w:firstLine="523" w:firstLineChars="218"/>
      <w:jc w:val="both"/>
    </w:pPr>
    <w:rPr>
      <w:i/>
      <w:iCs/>
      <w:kern w:val="2"/>
      <w:sz w:val="24"/>
      <w:szCs w:val="20"/>
    </w:rPr>
  </w:style>
  <w:style w:type="paragraph" w:customStyle="1" w:styleId="16">
    <w:name w:val="正文1"/>
    <w:basedOn w:val="1"/>
    <w:link w:val="67"/>
    <w:qFormat/>
    <w:uiPriority w:val="0"/>
    <w:pPr>
      <w:adjustRightInd w:val="0"/>
      <w:snapToGrid w:val="0"/>
      <w:spacing w:line="500" w:lineRule="atLeast"/>
      <w:ind w:firstLine="567"/>
    </w:pPr>
    <w:rPr>
      <w:rFonts w:eastAsia="宋体"/>
    </w:rPr>
  </w:style>
  <w:style w:type="paragraph" w:styleId="17">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8">
    <w:name w:val="toc 3"/>
    <w:basedOn w:val="1"/>
    <w:next w:val="1"/>
    <w:unhideWhenUsed/>
    <w:qFormat/>
    <w:uiPriority w:val="39"/>
    <w:pPr>
      <w:widowControl/>
      <w:spacing w:after="100" w:line="259" w:lineRule="auto"/>
      <w:ind w:left="440"/>
      <w:jc w:val="left"/>
    </w:pPr>
    <w:rPr>
      <w:rFonts w:cs="Times New Roman"/>
      <w:kern w:val="0"/>
      <w:sz w:val="22"/>
    </w:rPr>
  </w:style>
  <w:style w:type="paragraph" w:styleId="19">
    <w:name w:val="Plain Text"/>
    <w:basedOn w:val="1"/>
    <w:link w:val="73"/>
    <w:qFormat/>
    <w:uiPriority w:val="0"/>
    <w:rPr>
      <w:rFonts w:ascii="宋体" w:hAnsi="Courier New" w:eastAsia="宋体"/>
    </w:rPr>
  </w:style>
  <w:style w:type="paragraph" w:styleId="20">
    <w:name w:val="Date"/>
    <w:basedOn w:val="1"/>
    <w:next w:val="1"/>
    <w:link w:val="47"/>
    <w:unhideWhenUsed/>
    <w:qFormat/>
    <w:uiPriority w:val="0"/>
    <w:pPr>
      <w:ind w:left="100" w:leftChars="2500"/>
    </w:pPr>
  </w:style>
  <w:style w:type="paragraph" w:styleId="21">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22">
    <w:name w:val="Balloon Text"/>
    <w:basedOn w:val="1"/>
    <w:link w:val="46"/>
    <w:unhideWhenUsed/>
    <w:qFormat/>
    <w:uiPriority w:val="0"/>
    <w:rPr>
      <w:sz w:val="18"/>
      <w:szCs w:val="18"/>
    </w:rPr>
  </w:style>
  <w:style w:type="paragraph" w:styleId="23">
    <w:name w:val="footer"/>
    <w:basedOn w:val="1"/>
    <w:link w:val="49"/>
    <w:unhideWhenUsed/>
    <w:qFormat/>
    <w:uiPriority w:val="99"/>
    <w:pPr>
      <w:tabs>
        <w:tab w:val="center" w:pos="4153"/>
        <w:tab w:val="right" w:pos="8306"/>
      </w:tabs>
      <w:snapToGrid w:val="0"/>
      <w:jc w:val="left"/>
    </w:pPr>
    <w:rPr>
      <w:sz w:val="18"/>
      <w:szCs w:val="18"/>
    </w:rPr>
  </w:style>
  <w:style w:type="paragraph" w:styleId="24">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5">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6">
    <w:name w:val="Body Text Indent 3"/>
    <w:basedOn w:val="1"/>
    <w:link w:val="82"/>
    <w:qFormat/>
    <w:uiPriority w:val="0"/>
    <w:pPr>
      <w:ind w:firstLine="540"/>
    </w:pPr>
    <w:rPr>
      <w:rFonts w:hint="eastAsia" w:ascii="宋体" w:hAnsi="Times New Roman" w:eastAsia="宋体" w:cs="Times New Roman"/>
      <w:sz w:val="28"/>
      <w:szCs w:val="20"/>
    </w:rPr>
  </w:style>
  <w:style w:type="paragraph" w:styleId="27">
    <w:name w:val="toc 2"/>
    <w:basedOn w:val="1"/>
    <w:next w:val="1"/>
    <w:unhideWhenUsed/>
    <w:qFormat/>
    <w:uiPriority w:val="39"/>
    <w:pPr>
      <w:ind w:left="420" w:leftChars="200"/>
    </w:pPr>
  </w:style>
  <w:style w:type="paragraph" w:styleId="28">
    <w:name w:val="Body Text 2"/>
    <w:basedOn w:val="1"/>
    <w:link w:val="84"/>
    <w:qFormat/>
    <w:uiPriority w:val="0"/>
    <w:rPr>
      <w:rFonts w:ascii="Times New Roman" w:hAnsi="Times New Roman" w:eastAsia="宋体" w:cs="Times New Roman"/>
      <w:szCs w:val="20"/>
    </w:rPr>
  </w:style>
  <w:style w:type="paragraph" w:styleId="2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0">
    <w:name w:val="index 1"/>
    <w:basedOn w:val="1"/>
    <w:next w:val="1"/>
    <w:qFormat/>
    <w:uiPriority w:val="0"/>
    <w:pPr>
      <w:spacing w:line="192" w:lineRule="auto"/>
      <w:jc w:val="center"/>
    </w:pPr>
    <w:rPr>
      <w:rFonts w:ascii="宋体" w:hAnsi="宋体" w:eastAsia="宋体" w:cs="Times New Roman"/>
      <w:szCs w:val="20"/>
    </w:rPr>
  </w:style>
  <w:style w:type="paragraph" w:styleId="31">
    <w:name w:val="annotation subject"/>
    <w:basedOn w:val="11"/>
    <w:next w:val="11"/>
    <w:link w:val="74"/>
    <w:qFormat/>
    <w:uiPriority w:val="0"/>
    <w:rPr>
      <w:b/>
      <w:bCs/>
    </w:rPr>
  </w:style>
  <w:style w:type="paragraph" w:styleId="32">
    <w:name w:val="Body Text First Indent"/>
    <w:basedOn w:val="4"/>
    <w:qFormat/>
    <w:uiPriority w:val="0"/>
    <w:pPr>
      <w:spacing w:after="120" w:line="240" w:lineRule="auto"/>
      <w:ind w:firstLine="420" w:firstLineChars="100"/>
    </w:pPr>
    <w:rPr>
      <w:sz w:val="28"/>
      <w:szCs w:val="24"/>
    </w:rPr>
  </w:style>
  <w:style w:type="paragraph" w:styleId="33">
    <w:name w:val="Body Text First Indent 2"/>
    <w:basedOn w:val="13"/>
    <w:unhideWhenUsed/>
    <w:qFormat/>
    <w:uiPriority w:val="99"/>
    <w:pPr>
      <w:spacing w:after="120" w:line="240" w:lineRule="auto"/>
      <w:ind w:left="420" w:leftChars="200" w:firstLine="420" w:firstLineChars="200"/>
      <w:jc w:val="both"/>
    </w:pPr>
    <w:rPr>
      <w:rFonts w:ascii="Times New Roman" w:hAnsi="Times New Roman"/>
      <w:kern w:val="2"/>
      <w:sz w:val="21"/>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0"/>
    <w:rPr>
      <w:b/>
      <w:bCs/>
    </w:rPr>
  </w:style>
  <w:style w:type="character" w:styleId="38">
    <w:name w:val="page number"/>
    <w:basedOn w:val="36"/>
    <w:qFormat/>
    <w:uiPriority w:val="0"/>
  </w:style>
  <w:style w:type="character" w:styleId="39">
    <w:name w:val="Emphasis"/>
    <w:basedOn w:val="36"/>
    <w:qFormat/>
    <w:uiPriority w:val="0"/>
    <w:rPr>
      <w:i/>
      <w:iCs/>
    </w:rPr>
  </w:style>
  <w:style w:type="character" w:styleId="40">
    <w:name w:val="Hyperlink"/>
    <w:basedOn w:val="36"/>
    <w:qFormat/>
    <w:uiPriority w:val="99"/>
    <w:rPr>
      <w:color w:val="000000"/>
      <w:u w:val="single"/>
    </w:rPr>
  </w:style>
  <w:style w:type="character" w:styleId="41">
    <w:name w:val="annotation reference"/>
    <w:basedOn w:val="36"/>
    <w:qFormat/>
    <w:uiPriority w:val="0"/>
    <w:rPr>
      <w:sz w:val="21"/>
      <w:szCs w:val="21"/>
    </w:rPr>
  </w:style>
  <w:style w:type="character" w:customStyle="1" w:styleId="42">
    <w:name w:val="标题 1 Char"/>
    <w:basedOn w:val="36"/>
    <w:link w:val="5"/>
    <w:qFormat/>
    <w:uiPriority w:val="0"/>
    <w:rPr>
      <w:rFonts w:ascii="宋体" w:hAnsi="宋体" w:eastAsia="宋体"/>
      <w:b/>
      <w:sz w:val="30"/>
      <w:szCs w:val="30"/>
    </w:rPr>
  </w:style>
  <w:style w:type="character" w:customStyle="1" w:styleId="43">
    <w:name w:val="标题 2 Char"/>
    <w:basedOn w:val="36"/>
    <w:link w:val="6"/>
    <w:qFormat/>
    <w:uiPriority w:val="0"/>
    <w:rPr>
      <w:rFonts w:ascii="宋体" w:hAnsi="宋体" w:eastAsia="宋体"/>
      <w:b/>
      <w:sz w:val="28"/>
      <w:szCs w:val="30"/>
    </w:rPr>
  </w:style>
  <w:style w:type="character" w:customStyle="1" w:styleId="44">
    <w:name w:val="标题 3 Char"/>
    <w:basedOn w:val="36"/>
    <w:link w:val="7"/>
    <w:qFormat/>
    <w:uiPriority w:val="0"/>
    <w:rPr>
      <w:rFonts w:ascii="宋体" w:hAnsi="宋体" w:eastAsia="宋体"/>
      <w:sz w:val="24"/>
      <w:szCs w:val="24"/>
    </w:rPr>
  </w:style>
  <w:style w:type="character" w:customStyle="1" w:styleId="45">
    <w:name w:val="标题 4 Char"/>
    <w:basedOn w:val="36"/>
    <w:link w:val="8"/>
    <w:qFormat/>
    <w:uiPriority w:val="0"/>
    <w:rPr>
      <w:rFonts w:ascii="Arial" w:hAnsi="Arial" w:eastAsia="黑体" w:cs="Times New Roman"/>
      <w:b/>
      <w:bCs/>
      <w:sz w:val="28"/>
      <w:szCs w:val="28"/>
    </w:rPr>
  </w:style>
  <w:style w:type="character" w:customStyle="1" w:styleId="46">
    <w:name w:val="批注框文本 Char"/>
    <w:basedOn w:val="36"/>
    <w:link w:val="22"/>
    <w:qFormat/>
    <w:uiPriority w:val="0"/>
    <w:rPr>
      <w:sz w:val="18"/>
      <w:szCs w:val="18"/>
    </w:rPr>
  </w:style>
  <w:style w:type="character" w:customStyle="1" w:styleId="47">
    <w:name w:val="日期 Char"/>
    <w:basedOn w:val="36"/>
    <w:link w:val="20"/>
    <w:qFormat/>
    <w:uiPriority w:val="0"/>
  </w:style>
  <w:style w:type="character" w:customStyle="1" w:styleId="48">
    <w:name w:val="页眉 Char"/>
    <w:basedOn w:val="36"/>
    <w:link w:val="14"/>
    <w:qFormat/>
    <w:uiPriority w:val="0"/>
    <w:rPr>
      <w:sz w:val="18"/>
      <w:szCs w:val="18"/>
    </w:rPr>
  </w:style>
  <w:style w:type="character" w:customStyle="1" w:styleId="49">
    <w:name w:val="页脚 Char"/>
    <w:basedOn w:val="36"/>
    <w:link w:val="23"/>
    <w:qFormat/>
    <w:uiPriority w:val="99"/>
    <w:rPr>
      <w:sz w:val="18"/>
      <w:szCs w:val="18"/>
    </w:rPr>
  </w:style>
  <w:style w:type="character" w:customStyle="1" w:styleId="50">
    <w:name w:val="apple-converted-space"/>
    <w:basedOn w:val="36"/>
    <w:qFormat/>
    <w:uiPriority w:val="0"/>
  </w:style>
  <w:style w:type="character" w:customStyle="1" w:styleId="51">
    <w:name w:val="表内容@ Char"/>
    <w:basedOn w:val="36"/>
    <w:link w:val="52"/>
    <w:qFormat/>
    <w:uiPriority w:val="0"/>
    <w:rPr>
      <w:rFonts w:ascii="宋体" w:hAnsi="宋体" w:eastAsia="宋体" w:cs="Arial"/>
      <w:szCs w:val="21"/>
    </w:rPr>
  </w:style>
  <w:style w:type="paragraph" w:customStyle="1" w:styleId="52">
    <w:name w:val="表内容@"/>
    <w:basedOn w:val="1"/>
    <w:link w:val="51"/>
    <w:qFormat/>
    <w:uiPriority w:val="0"/>
    <w:pPr>
      <w:adjustRightInd w:val="0"/>
      <w:jc w:val="center"/>
    </w:pPr>
    <w:rPr>
      <w:rFonts w:ascii="宋体" w:hAnsi="宋体" w:eastAsia="宋体" w:cs="Arial"/>
      <w:szCs w:val="21"/>
    </w:rPr>
  </w:style>
  <w:style w:type="character" w:customStyle="1" w:styleId="53">
    <w:name w:val="t1"/>
    <w:qFormat/>
    <w:uiPriority w:val="0"/>
    <w:rPr>
      <w:sz w:val="28"/>
      <w:szCs w:val="28"/>
    </w:rPr>
  </w:style>
  <w:style w:type="character" w:customStyle="1" w:styleId="54">
    <w:name w:val="批注文字 Char"/>
    <w:basedOn w:val="36"/>
    <w:link w:val="11"/>
    <w:qFormat/>
    <w:uiPriority w:val="0"/>
    <w:rPr>
      <w:szCs w:val="24"/>
    </w:rPr>
  </w:style>
  <w:style w:type="character" w:customStyle="1" w:styleId="55">
    <w:name w:val="样式 正文@ + 首行缩进:  2 字符2 Char"/>
    <w:basedOn w:val="36"/>
    <w:link w:val="56"/>
    <w:qFormat/>
    <w:uiPriority w:val="0"/>
    <w:rPr>
      <w:rFonts w:ascii="宋体" w:hAnsi="宋体" w:eastAsia="宋体" w:cs="宋体"/>
      <w:sz w:val="24"/>
    </w:rPr>
  </w:style>
  <w:style w:type="paragraph" w:customStyle="1" w:styleId="56">
    <w:name w:val="样式 正文@ + 首行缩进:  2 字符2"/>
    <w:basedOn w:val="1"/>
    <w:link w:val="55"/>
    <w:qFormat/>
    <w:uiPriority w:val="0"/>
    <w:pPr>
      <w:spacing w:line="360" w:lineRule="auto"/>
      <w:ind w:firstLine="480" w:firstLineChars="200"/>
    </w:pPr>
    <w:rPr>
      <w:rFonts w:ascii="宋体" w:hAnsi="宋体" w:eastAsia="宋体" w:cs="宋体"/>
      <w:sz w:val="24"/>
    </w:rPr>
  </w:style>
  <w:style w:type="character" w:customStyle="1" w:styleId="57">
    <w:name w:val="样式 样式 正文@ + 首行缩进:  2 字符 字距调整小四 紧缩量  0.2 磅 + 首行缩进:  2 字符 Char"/>
    <w:basedOn w:val="36"/>
    <w:link w:val="58"/>
    <w:qFormat/>
    <w:uiPriority w:val="0"/>
    <w:rPr>
      <w:rFonts w:ascii="宋体" w:hAnsi="宋体" w:eastAsia="宋体" w:cs="宋体"/>
      <w:kern w:val="24"/>
      <w:sz w:val="24"/>
      <w:szCs w:val="24"/>
    </w:rPr>
  </w:style>
  <w:style w:type="paragraph" w:customStyle="1" w:styleId="58">
    <w:name w:val="样式 样式 正文@ + 首行缩进:  2 字符 字距调整小四 紧缩量  0.2 磅 + 首行缩进:  2 字符"/>
    <w:basedOn w:val="1"/>
    <w:link w:val="57"/>
    <w:qFormat/>
    <w:uiPriority w:val="0"/>
    <w:pPr>
      <w:spacing w:line="360" w:lineRule="auto"/>
      <w:ind w:firstLine="480" w:firstLineChars="200"/>
    </w:pPr>
    <w:rPr>
      <w:rFonts w:ascii="宋体" w:hAnsi="宋体" w:eastAsia="宋体" w:cs="宋体"/>
      <w:kern w:val="24"/>
      <w:sz w:val="24"/>
      <w:szCs w:val="24"/>
    </w:rPr>
  </w:style>
  <w:style w:type="character" w:customStyle="1" w:styleId="59">
    <w:name w:val="d1"/>
    <w:basedOn w:val="36"/>
    <w:qFormat/>
    <w:uiPriority w:val="0"/>
    <w:rPr>
      <w:rFonts w:hint="default" w:ascii="ˎ̥" w:hAnsi="ˎ̥"/>
      <w:color w:val="5C5C5C"/>
      <w:sz w:val="23"/>
      <w:szCs w:val="23"/>
      <w:u w:val="none"/>
    </w:rPr>
  </w:style>
  <w:style w:type="character" w:customStyle="1" w:styleId="60">
    <w:name w:val="正文2 Char Char"/>
    <w:basedOn w:val="36"/>
    <w:link w:val="61"/>
    <w:qFormat/>
    <w:uiPriority w:val="0"/>
    <w:rPr>
      <w:spacing w:val="18"/>
      <w:sz w:val="32"/>
    </w:rPr>
  </w:style>
  <w:style w:type="paragraph" w:customStyle="1" w:styleId="61">
    <w:name w:val="正文2"/>
    <w:link w:val="60"/>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2">
    <w:name w:val="表头 Char"/>
    <w:basedOn w:val="36"/>
    <w:link w:val="63"/>
    <w:qFormat/>
    <w:uiPriority w:val="0"/>
    <w:rPr>
      <w:rFonts w:ascii="黑体" w:eastAsia="黑体"/>
      <w:sz w:val="24"/>
    </w:rPr>
  </w:style>
  <w:style w:type="paragraph" w:customStyle="1" w:styleId="63">
    <w:name w:val="表头"/>
    <w:basedOn w:val="1"/>
    <w:link w:val="62"/>
    <w:qFormat/>
    <w:uiPriority w:val="0"/>
    <w:pPr>
      <w:spacing w:line="360" w:lineRule="auto"/>
      <w:jc w:val="center"/>
    </w:pPr>
    <w:rPr>
      <w:rFonts w:ascii="黑体" w:eastAsia="黑体"/>
      <w:sz w:val="24"/>
    </w:rPr>
  </w:style>
  <w:style w:type="character" w:customStyle="1" w:styleId="64">
    <w:name w:val="样式 表图头@ + 段前: 0.5 行 Char"/>
    <w:basedOn w:val="36"/>
    <w:link w:val="65"/>
    <w:qFormat/>
    <w:uiPriority w:val="0"/>
    <w:rPr>
      <w:rFonts w:ascii="宋体" w:hAnsi="宋体" w:eastAsia="宋体" w:cs="宋体"/>
    </w:rPr>
  </w:style>
  <w:style w:type="paragraph" w:customStyle="1" w:styleId="65">
    <w:name w:val="样式 表图头@ + 段前: 0.5 行"/>
    <w:basedOn w:val="1"/>
    <w:link w:val="64"/>
    <w:qFormat/>
    <w:uiPriority w:val="0"/>
    <w:pPr>
      <w:adjustRightInd w:val="0"/>
      <w:jc w:val="center"/>
    </w:pPr>
    <w:rPr>
      <w:rFonts w:ascii="宋体" w:hAnsi="宋体" w:eastAsia="宋体" w:cs="宋体"/>
    </w:rPr>
  </w:style>
  <w:style w:type="character" w:customStyle="1" w:styleId="66">
    <w:name w:val="style5"/>
    <w:basedOn w:val="36"/>
    <w:qFormat/>
    <w:uiPriority w:val="0"/>
  </w:style>
  <w:style w:type="character" w:customStyle="1" w:styleId="67">
    <w:name w:val="正文1 Char"/>
    <w:basedOn w:val="36"/>
    <w:link w:val="16"/>
    <w:qFormat/>
    <w:uiPriority w:val="0"/>
    <w:rPr>
      <w:rFonts w:eastAsia="宋体"/>
    </w:rPr>
  </w:style>
  <w:style w:type="character" w:customStyle="1" w:styleId="68">
    <w:name w:val="样式2 Char Char"/>
    <w:basedOn w:val="36"/>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6"/>
    <w:link w:val="2"/>
    <w:qFormat/>
    <w:uiPriority w:val="0"/>
    <w:rPr>
      <w:rFonts w:eastAsia="宋体"/>
      <w:szCs w:val="24"/>
    </w:rPr>
  </w:style>
  <w:style w:type="character" w:customStyle="1" w:styleId="71">
    <w:name w:val="题注 Char"/>
    <w:basedOn w:val="36"/>
    <w:link w:val="9"/>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9"/>
    <w:qFormat/>
    <w:uiPriority w:val="0"/>
    <w:rPr>
      <w:rFonts w:ascii="宋体" w:hAnsi="Courier New" w:eastAsia="宋体"/>
    </w:rPr>
  </w:style>
  <w:style w:type="character" w:customStyle="1" w:styleId="74">
    <w:name w:val="批注主题 Char"/>
    <w:basedOn w:val="54"/>
    <w:link w:val="31"/>
    <w:qFormat/>
    <w:uiPriority w:val="0"/>
    <w:rPr>
      <w:b/>
      <w:bCs/>
      <w:szCs w:val="24"/>
    </w:rPr>
  </w:style>
  <w:style w:type="character" w:customStyle="1" w:styleId="75">
    <w:name w:val="正文文本 3 Char"/>
    <w:basedOn w:val="36"/>
    <w:link w:val="12"/>
    <w:qFormat/>
    <w:uiPriority w:val="0"/>
    <w:rPr>
      <w:rFonts w:ascii="Times New Roman" w:hAnsi="Times New Roman" w:eastAsia="宋体" w:cs="Times New Roman"/>
      <w:sz w:val="16"/>
      <w:szCs w:val="16"/>
    </w:rPr>
  </w:style>
  <w:style w:type="character" w:customStyle="1" w:styleId="76">
    <w:name w:val="文档结构图 Char"/>
    <w:basedOn w:val="36"/>
    <w:link w:val="10"/>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6"/>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6"/>
    <w:link w:val="4"/>
    <w:qFormat/>
    <w:uiPriority w:val="0"/>
    <w:rPr>
      <w:rFonts w:ascii="Times New Roman" w:hAnsi="Times New Roman" w:eastAsia="宋体" w:cs="Times New Roman"/>
      <w:sz w:val="32"/>
      <w:szCs w:val="20"/>
    </w:rPr>
  </w:style>
  <w:style w:type="character" w:customStyle="1" w:styleId="80">
    <w:name w:val="正文文本缩进 Char"/>
    <w:basedOn w:val="36"/>
    <w:link w:val="13"/>
    <w:qFormat/>
    <w:uiPriority w:val="0"/>
    <w:rPr>
      <w:rFonts w:ascii="宋体" w:hAnsi="Times New Roman" w:eastAsia="宋体" w:cs="Times New Roman"/>
      <w:sz w:val="24"/>
      <w:szCs w:val="24"/>
    </w:rPr>
  </w:style>
  <w:style w:type="character" w:customStyle="1" w:styleId="81">
    <w:name w:val="纯文本 字符1"/>
    <w:basedOn w:val="36"/>
    <w:semiHidden/>
    <w:qFormat/>
    <w:uiPriority w:val="99"/>
    <w:rPr>
      <w:rFonts w:hAnsi="Courier New" w:cs="Courier New" w:asciiTheme="minorEastAsia"/>
    </w:rPr>
  </w:style>
  <w:style w:type="character" w:customStyle="1" w:styleId="82">
    <w:name w:val="正文文本缩进 3 Char"/>
    <w:basedOn w:val="36"/>
    <w:link w:val="26"/>
    <w:qFormat/>
    <w:uiPriority w:val="0"/>
    <w:rPr>
      <w:rFonts w:ascii="宋体" w:hAnsi="Times New Roman" w:eastAsia="宋体" w:cs="Times New Roman"/>
      <w:sz w:val="28"/>
      <w:szCs w:val="20"/>
    </w:rPr>
  </w:style>
  <w:style w:type="character" w:customStyle="1" w:styleId="83">
    <w:name w:val="正文文本缩进 2 Char"/>
    <w:basedOn w:val="36"/>
    <w:link w:val="21"/>
    <w:qFormat/>
    <w:uiPriority w:val="0"/>
    <w:rPr>
      <w:rFonts w:ascii="Times New Roman" w:hAnsi="Times New Roman" w:eastAsia="宋体" w:cs="Times New Roman"/>
      <w:sz w:val="28"/>
      <w:szCs w:val="20"/>
    </w:rPr>
  </w:style>
  <w:style w:type="character" w:customStyle="1" w:styleId="84">
    <w:name w:val="正文文本 2 Char"/>
    <w:basedOn w:val="36"/>
    <w:link w:val="28"/>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87"/>
    <w:next w:val="87"/>
    <w:qFormat/>
    <w:uiPriority w:val="0"/>
    <w:pPr>
      <w:spacing w:line="626" w:lineRule="atLeast"/>
    </w:pPr>
    <w:rPr>
      <w:rFonts w:hAnsi="Times New Roman" w:cs="Times New Roman"/>
      <w:color w:val="auto"/>
    </w:rPr>
  </w:style>
  <w:style w:type="paragraph" w:customStyle="1" w:styleId="87">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8">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9">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0">
    <w:name w:val="p0"/>
    <w:basedOn w:val="1"/>
    <w:qFormat/>
    <w:uiPriority w:val="0"/>
    <w:pPr>
      <w:widowControl/>
    </w:pPr>
    <w:rPr>
      <w:rFonts w:hint="eastAsia" w:ascii="Times New Roman" w:hAnsi="Times New Roman" w:eastAsia="宋体" w:cs="Times New Roman"/>
      <w:sz w:val="24"/>
      <w:szCs w:val="24"/>
    </w:rPr>
  </w:style>
  <w:style w:type="paragraph" w:customStyle="1" w:styleId="91">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2">
    <w:name w:val="CM3"/>
    <w:basedOn w:val="87"/>
    <w:next w:val="87"/>
    <w:qFormat/>
    <w:uiPriority w:val="0"/>
    <w:pPr>
      <w:spacing w:line="468" w:lineRule="atLeast"/>
    </w:pPr>
    <w:rPr>
      <w:rFonts w:hAnsi="Times New Roman" w:cs="Times New Roman"/>
      <w:color w:val="auto"/>
    </w:rPr>
  </w:style>
  <w:style w:type="paragraph" w:customStyle="1" w:styleId="93">
    <w:name w:val="CM7"/>
    <w:basedOn w:val="87"/>
    <w:next w:val="87"/>
    <w:qFormat/>
    <w:uiPriority w:val="0"/>
    <w:pPr>
      <w:spacing w:line="471" w:lineRule="atLeast"/>
    </w:pPr>
    <w:rPr>
      <w:rFonts w:hAnsi="Times New Roman" w:cs="Times New Roman"/>
      <w:color w:val="auto"/>
    </w:rPr>
  </w:style>
  <w:style w:type="paragraph" w:customStyle="1" w:styleId="94">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5">
    <w:name w:val="CM8"/>
    <w:basedOn w:val="87"/>
    <w:next w:val="87"/>
    <w:qFormat/>
    <w:uiPriority w:val="0"/>
    <w:pPr>
      <w:spacing w:line="436" w:lineRule="atLeast"/>
    </w:pPr>
    <w:rPr>
      <w:rFonts w:ascii="仿宋_GB2312" w:hAnsi="Times New Roman" w:eastAsia="仿宋_GB2312" w:cs="Times New Roman"/>
      <w:color w:val="auto"/>
    </w:rPr>
  </w:style>
  <w:style w:type="paragraph" w:customStyle="1" w:styleId="96">
    <w:name w:val="Char1"/>
    <w:basedOn w:val="1"/>
    <w:qFormat/>
    <w:uiPriority w:val="0"/>
    <w:rPr>
      <w:rFonts w:ascii="Times New Roman" w:hAnsi="Times New Roman" w:eastAsia="宋体" w:cs="Times New Roman"/>
      <w:szCs w:val="24"/>
    </w:rPr>
  </w:style>
  <w:style w:type="paragraph" w:customStyle="1" w:styleId="97">
    <w:name w:val="2.1.1"/>
    <w:basedOn w:val="1"/>
    <w:qFormat/>
    <w:uiPriority w:val="0"/>
    <w:rPr>
      <w:rFonts w:ascii="Times New Roman" w:hAnsi="Times New Roman" w:eastAsia="宋体" w:cs="Times New Roman"/>
      <w:sz w:val="24"/>
      <w:szCs w:val="24"/>
    </w:rPr>
  </w:style>
  <w:style w:type="paragraph" w:customStyle="1" w:styleId="98">
    <w:name w:val="Char Char Char Char Char Char Char"/>
    <w:basedOn w:val="1"/>
    <w:qFormat/>
    <w:uiPriority w:val="0"/>
    <w:rPr>
      <w:rFonts w:ascii="Times New Roman" w:hAnsi="Times New Roman" w:eastAsia="宋体" w:cs="Times New Roman"/>
      <w:szCs w:val="24"/>
    </w:rPr>
  </w:style>
  <w:style w:type="paragraph" w:customStyle="1" w:styleId="99">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0">
    <w:name w:val="CM112"/>
    <w:basedOn w:val="87"/>
    <w:next w:val="87"/>
    <w:qFormat/>
    <w:uiPriority w:val="0"/>
    <w:rPr>
      <w:rFonts w:ascii="仿宋_GB2312" w:hAnsi="Times New Roman" w:eastAsia="仿宋_GB2312" w:cs="Times New Roman"/>
      <w:color w:val="auto"/>
    </w:rPr>
  </w:style>
  <w:style w:type="paragraph" w:customStyle="1" w:styleId="101">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2">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3">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4">
    <w:name w:val="大田正文"/>
    <w:basedOn w:val="13"/>
    <w:qFormat/>
    <w:uiPriority w:val="0"/>
    <w:pPr>
      <w:spacing w:line="500" w:lineRule="exact"/>
      <w:ind w:firstLine="567"/>
    </w:pPr>
    <w:rPr>
      <w:sz w:val="28"/>
      <w:szCs w:val="20"/>
    </w:rPr>
  </w:style>
  <w:style w:type="paragraph" w:customStyle="1" w:styleId="105">
    <w:name w:val="CM51"/>
    <w:basedOn w:val="87"/>
    <w:next w:val="87"/>
    <w:qFormat/>
    <w:uiPriority w:val="0"/>
    <w:rPr>
      <w:rFonts w:hAnsi="Times New Roman" w:cs="Times New Roman"/>
      <w:color w:val="auto"/>
    </w:rPr>
  </w:style>
  <w:style w:type="paragraph" w:styleId="106">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7">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8">
    <w:name w:val="4"/>
    <w:basedOn w:val="1"/>
    <w:next w:val="19"/>
    <w:qFormat/>
    <w:uiPriority w:val="0"/>
    <w:rPr>
      <w:rFonts w:ascii="宋体" w:hAnsi="Courier New" w:eastAsia="宋体" w:cs="Courier New"/>
      <w:szCs w:val="21"/>
    </w:rPr>
  </w:style>
  <w:style w:type="paragraph" w:customStyle="1" w:styleId="109">
    <w:name w:val="CM5"/>
    <w:basedOn w:val="87"/>
    <w:next w:val="87"/>
    <w:qFormat/>
    <w:uiPriority w:val="0"/>
    <w:pPr>
      <w:spacing w:line="436" w:lineRule="atLeast"/>
    </w:pPr>
    <w:rPr>
      <w:rFonts w:ascii="仿宋_GB2312" w:hAnsi="Times New Roman" w:eastAsia="仿宋_GB2312" w:cs="Times New Roman"/>
      <w:color w:val="auto"/>
    </w:rPr>
  </w:style>
  <w:style w:type="paragraph" w:customStyle="1" w:styleId="110">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1">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2">
    <w:name w:val="三级标题"/>
    <w:basedOn w:val="1"/>
    <w:qFormat/>
    <w:uiPriority w:val="0"/>
    <w:pPr>
      <w:spacing w:line="360" w:lineRule="auto"/>
    </w:pPr>
    <w:rPr>
      <w:rFonts w:ascii="宋体" w:hAnsi="宋体" w:eastAsia="宋体" w:cs="Times New Roman"/>
      <w:bCs/>
      <w:sz w:val="24"/>
      <w:szCs w:val="24"/>
    </w:rPr>
  </w:style>
  <w:style w:type="paragraph" w:customStyle="1" w:styleId="11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4">
    <w:name w:val="默认段落字体 Para Char Char Char Char"/>
    <w:basedOn w:val="1"/>
    <w:qFormat/>
    <w:uiPriority w:val="0"/>
    <w:rPr>
      <w:rFonts w:ascii="Times New Roman" w:hAnsi="Times New Roman" w:eastAsia="宋体" w:cs="Times New Roman"/>
      <w:szCs w:val="21"/>
    </w:rPr>
  </w:style>
  <w:style w:type="paragraph" w:customStyle="1" w:styleId="115">
    <w:name w:val="CM40"/>
    <w:basedOn w:val="87"/>
    <w:next w:val="87"/>
    <w:qFormat/>
    <w:uiPriority w:val="0"/>
    <w:rPr>
      <w:rFonts w:hAnsi="Times New Roman" w:cs="Times New Roman"/>
      <w:color w:val="auto"/>
    </w:rPr>
  </w:style>
  <w:style w:type="paragraph" w:customStyle="1" w:styleId="116">
    <w:name w:val="CM109"/>
    <w:basedOn w:val="87"/>
    <w:next w:val="87"/>
    <w:qFormat/>
    <w:uiPriority w:val="0"/>
    <w:rPr>
      <w:rFonts w:ascii="仿宋_GB2312" w:hAnsi="Times New Roman" w:eastAsia="仿宋_GB2312" w:cs="Times New Roman"/>
      <w:color w:val="auto"/>
    </w:rPr>
  </w:style>
  <w:style w:type="paragraph" w:customStyle="1" w:styleId="117">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8">
    <w:name w:val="TOC Heading"/>
    <w:basedOn w:val="5"/>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9">
    <w:name w:val="List Paragraph1"/>
    <w:basedOn w:val="1"/>
    <w:qFormat/>
    <w:uiPriority w:val="99"/>
    <w:pPr>
      <w:ind w:firstLine="420" w:firstLineChars="200"/>
    </w:pPr>
    <w:rPr>
      <w:rFonts w:ascii="Calibri" w:hAnsi="Calibri" w:eastAsia="宋体" w:cs="Times New Roman"/>
    </w:rPr>
  </w:style>
  <w:style w:type="table" w:customStyle="1" w:styleId="120">
    <w:name w:val="网格型1"/>
    <w:basedOn w:val="3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1">
    <w:name w:val="列出段落1"/>
    <w:basedOn w:val="1"/>
    <w:qFormat/>
    <w:uiPriority w:val="34"/>
    <w:pPr>
      <w:ind w:firstLine="420" w:firstLineChars="200"/>
    </w:pPr>
  </w:style>
  <w:style w:type="paragraph" w:customStyle="1" w:styleId="122">
    <w:name w:val="Body text|2"/>
    <w:basedOn w:val="1"/>
    <w:link w:val="124"/>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3">
    <w:name w:val="Body text|2 + Spacing 1 pt"/>
    <w:basedOn w:val="124"/>
    <w:semiHidden/>
    <w:unhideWhenUsed/>
    <w:qFormat/>
    <w:uiPriority w:val="0"/>
    <w:rPr>
      <w:color w:val="000000"/>
      <w:spacing w:val="30"/>
      <w:w w:val="100"/>
      <w:position w:val="0"/>
      <w:lang w:val="zh-CN" w:eastAsia="zh-CN" w:bidi="zh-CN"/>
    </w:rPr>
  </w:style>
  <w:style w:type="character" w:customStyle="1" w:styleId="124">
    <w:name w:val="Body text|2_"/>
    <w:basedOn w:val="36"/>
    <w:link w:val="122"/>
    <w:qFormat/>
    <w:uiPriority w:val="0"/>
    <w:rPr>
      <w:rFonts w:ascii="PMingLiU" w:hAnsi="PMingLiU" w:eastAsia="PMingLiU" w:cs="PMingLiU"/>
      <w:sz w:val="22"/>
      <w:szCs w:val="22"/>
      <w:u w:val="none"/>
    </w:rPr>
  </w:style>
  <w:style w:type="paragraph" w:customStyle="1" w:styleId="125">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6">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7">
    <w:name w:val="表格正文"/>
    <w:basedOn w:val="1"/>
    <w:qFormat/>
    <w:uiPriority w:val="0"/>
    <w:pPr>
      <w:spacing w:line="360" w:lineRule="exact"/>
      <w:jc w:val="center"/>
    </w:pPr>
  </w:style>
  <w:style w:type="paragraph" w:customStyle="1" w:styleId="128">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9">
    <w:name w:val="Table Paragraph"/>
    <w:basedOn w:val="1"/>
    <w:qFormat/>
    <w:uiPriority w:val="1"/>
    <w:rPr>
      <w:rFonts w:ascii="宋体" w:hAnsi="宋体" w:eastAsia="宋体" w:cs="宋体"/>
      <w:lang w:val="zh-CN" w:eastAsia="zh-CN" w:bidi="zh-CN"/>
    </w:rPr>
  </w:style>
  <w:style w:type="paragraph" w:customStyle="1" w:styleId="130">
    <w:name w:val="书正文"/>
    <w:basedOn w:val="1"/>
    <w:qFormat/>
    <w:uiPriority w:val="0"/>
    <w:pPr>
      <w:spacing w:line="500" w:lineRule="exact"/>
      <w:ind w:firstLine="640" w:firstLineChars="200"/>
    </w:pPr>
  </w:style>
  <w:style w:type="paragraph" w:customStyle="1" w:styleId="131">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2">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3">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4">
    <w:name w:val="Q-正文"/>
    <w:basedOn w:val="1"/>
    <w:qFormat/>
    <w:uiPriority w:val="0"/>
    <w:pPr>
      <w:autoSpaceDE w:val="0"/>
      <w:autoSpaceDN w:val="0"/>
      <w:spacing w:line="360" w:lineRule="auto"/>
      <w:ind w:firstLine="200" w:firstLineChars="200"/>
    </w:pPr>
    <w:rPr>
      <w:sz w:val="24"/>
      <w:szCs w:val="28"/>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68"/>
    <customShpInfo spid="_x0000_s116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42</TotalTime>
  <ScaleCrop>false</ScaleCrop>
  <LinksUpToDate>false</LinksUpToDate>
  <CharactersWithSpaces>33016</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2020-12-03T01:35:31Z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