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HJSYCSLZPC001</w:t>
      </w:r>
      <w:r>
        <w:rPr>
          <w:rFonts w:hint="default" w:ascii="Times New Roman" w:hAnsi="Times New Roman" w:eastAsia="宋体" w:cs="Times New Roman"/>
          <w:sz w:val="24"/>
          <w:szCs w:val="24"/>
          <w:lang w:val="en-US" w:eastAsia="zh-CN"/>
        </w:rPr>
        <w:t>号</w:t>
      </w:r>
    </w:p>
    <w:p>
      <w:pPr>
        <w:pStyle w:val="9"/>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河间市亿彩塑料制品厂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PVC树脂片材新建项目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河间市亿彩塑料制品厂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河间市亿彩塑料制品厂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06</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21"/>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43"/>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43"/>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43"/>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43"/>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43"/>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4.1建设项目环评报告</w:t>
          </w:r>
          <w:r>
            <w:rPr>
              <w:rStyle w:val="43"/>
              <w:rFonts w:hint="eastAsia" w:ascii="Times New Roman" w:hAnsi="Times New Roman" w:eastAsia="宋体" w:cs="Times New Roman"/>
              <w:sz w:val="24"/>
              <w:szCs w:val="24"/>
              <w:lang w:val="en-US" w:eastAsia="zh-CN"/>
            </w:rPr>
            <w:t>表</w:t>
          </w:r>
          <w:r>
            <w:rPr>
              <w:rStyle w:val="43"/>
              <w:rFonts w:hint="default" w:ascii="Times New Roman" w:hAnsi="Times New Roman" w:eastAsia="宋体" w:cs="Times New Roman"/>
              <w:sz w:val="24"/>
              <w:szCs w:val="24"/>
            </w:rPr>
            <w:t>的主要结论</w:t>
          </w:r>
          <w:r>
            <w:rPr>
              <w:rStyle w:val="43"/>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43"/>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43"/>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43"/>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18</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43"/>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43"/>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43"/>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43"/>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1"/>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bookmarkStart w:id="118" w:name="_GoBack"/>
      <w:bookmarkEnd w:id="118"/>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2"/>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2"/>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5"/>
        <w:jc w:val="center"/>
        <w:rPr>
          <w:rFonts w:hint="default" w:ascii="Times New Roman" w:hAnsi="Times New Roman" w:cs="Times New Roman"/>
        </w:rPr>
      </w:pPr>
      <w:bookmarkStart w:id="2" w:name="_Toc504325317"/>
    </w:p>
    <w:p>
      <w:pPr>
        <w:pStyle w:val="5"/>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河间市亿彩塑料制品厂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河间市兴村镇北石家村</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50万元建设</w:t>
      </w:r>
      <w:r>
        <w:rPr>
          <w:rFonts w:hint="eastAsia" w:ascii="Times New Roman" w:hAnsi="Times New Roman" w:eastAsia="宋体" w:cs="Times New Roman"/>
          <w:color w:val="000000"/>
          <w:sz w:val="24"/>
          <w:szCs w:val="24"/>
          <w:lang w:eastAsia="zh-CN"/>
        </w:rPr>
        <w:t>PVC树脂片材新建项目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2021年11月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河间市亿彩塑料制品厂PVC树脂片材新建项目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河间市亿彩塑料制品厂PVC树脂片材新建项目现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河间市亿彩塑料制品厂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2022年05月27日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2022年05月28日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河间市亿彩塑料制品厂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5"/>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6"/>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6"/>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 16297-1996）；</w:t>
      </w:r>
    </w:p>
    <w:p>
      <w:pPr>
        <w:pStyle w:val="9"/>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9"/>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（12）</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9"/>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9"/>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6"/>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河间市亿彩塑料制品厂PVC树脂片材新建项目环境影响报告表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2021年11月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河间市亿彩塑料制品厂PVC树脂片材新建项目环境影响报告表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河环表[2021]（12-11）号，2021年12月13日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497001436"/>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823"/>
        <w:gridCol w:w="1947"/>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河间市亿彩塑料制品厂PVC树脂片材新建项目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河间市亿彩塑料制品厂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王辉</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264"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王辉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河间市兴村镇北石家村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13503270695</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264"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264"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C2922 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河间市兴村镇北石家村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94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r>
    </w:tbl>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496979001"/>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河间市兴村镇北石家村</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39.021</w:t>
      </w:r>
      <w:r>
        <w:rPr>
          <w:rFonts w:hint="default" w:ascii="Times New Roman" w:hAnsi="Times New Roman" w:eastAsia="宋体" w:cs="Times New Roman"/>
          <w:sz w:val="24"/>
          <w:szCs w:val="24"/>
        </w:rPr>
        <w:t>"，北纬38°</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31.883</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7001438"/>
      <w:bookmarkStart w:id="17" w:name="_Toc496979002"/>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年产PVC树脂片材1000吨</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PVC树脂颗粒</w:t>
            </w:r>
          </w:p>
        </w:tc>
        <w:tc>
          <w:tcPr>
            <w:tcW w:w="1701"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50"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597</w:t>
            </w:r>
          </w:p>
        </w:tc>
        <w:tc>
          <w:tcPr>
            <w:tcW w:w="1522"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色母粉</w:t>
            </w:r>
          </w:p>
        </w:tc>
        <w:tc>
          <w:tcPr>
            <w:tcW w:w="1701"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50"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522"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助剂</w:t>
            </w:r>
          </w:p>
        </w:tc>
        <w:tc>
          <w:tcPr>
            <w:tcW w:w="1701"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50"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522"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钙粉</w:t>
            </w:r>
          </w:p>
        </w:tc>
        <w:tc>
          <w:tcPr>
            <w:tcW w:w="1701"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50"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1522" w:type="dxa"/>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260</w:t>
            </w:r>
          </w:p>
        </w:tc>
        <w:tc>
          <w:tcPr>
            <w:tcW w:w="1522"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c>
          <w:tcPr>
            <w:tcW w:w="1522"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r>
    </w:tbl>
    <w:p>
      <w:pPr>
        <w:pStyle w:val="7"/>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工程</w:t>
      </w:r>
      <w:r>
        <w:rPr>
          <w:rFonts w:hint="eastAsia" w:ascii="Times New Roman" w:hAnsi="Times New Roman" w:eastAsia="宋体" w:cs="Times New Roman"/>
          <w:b/>
          <w:bCs/>
          <w:sz w:val="24"/>
          <w:szCs w:val="24"/>
          <w:lang w:eastAsia="zh-CN"/>
        </w:rPr>
        <w:t>内容</w:t>
      </w:r>
      <w:r>
        <w:rPr>
          <w:rFonts w:hint="default" w:ascii="Times New Roman" w:hAnsi="Times New Roman" w:eastAsia="宋体" w:cs="Times New Roman"/>
          <w:b/>
          <w:bCs/>
          <w:sz w:val="24"/>
          <w:szCs w:val="24"/>
        </w:rPr>
        <w:t>一览表</w:t>
      </w:r>
    </w:p>
    <w:tbl>
      <w:tblPr>
        <w:tblStyle w:val="3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建设内容</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规模</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生产车间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w:t>
            </w:r>
            <w:r>
              <w:rPr>
                <w:rFonts w:hint="default" w:ascii="Times New Roman" w:hAnsi="Times New Roman" w:eastAsia="宋体" w:cs="Times New Roman"/>
                <w:color w:val="auto"/>
                <w:sz w:val="21"/>
                <w:szCs w:val="21"/>
                <w:lang w:val="en-US" w:eastAsia="zh-CN"/>
              </w:rPr>
              <w:t>360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w:t>
            </w:r>
            <w:r>
              <w:rPr>
                <w:rFonts w:hint="default" w:ascii="Times New Roman" w:hAnsi="Times New Roman" w:eastAsia="宋体" w:cs="Times New Roman"/>
                <w:color w:val="auto"/>
                <w:sz w:val="21"/>
                <w:szCs w:val="21"/>
                <w:lang w:eastAsia="zh-CN"/>
              </w:rPr>
              <w:t>PVC树脂片材生产</w:t>
            </w:r>
            <w:r>
              <w:rPr>
                <w:rFonts w:hint="default" w:ascii="Times New Roman" w:hAnsi="Times New Roman" w:eastAsia="宋体" w:cs="Times New Roman"/>
                <w:color w:val="auto"/>
                <w:sz w:val="21"/>
                <w:szCs w:val="21"/>
                <w:lang w:val="en-US" w:eastAsia="zh-CN"/>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危废暂存间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位于生产车间</w:t>
            </w:r>
            <w:r>
              <w:rPr>
                <w:rFonts w:hint="default" w:ascii="Times New Roman" w:hAnsi="Times New Roman" w:eastAsia="宋体" w:cs="Times New Roman"/>
                <w:color w:val="auto"/>
                <w:sz w:val="21"/>
                <w:szCs w:val="21"/>
                <w:lang w:val="en-US" w:eastAsia="zh-CN"/>
              </w:rPr>
              <w:t>西北角，</w:t>
            </w:r>
            <w:r>
              <w:rPr>
                <w:rFonts w:hint="default" w:ascii="Times New Roman" w:hAnsi="Times New Roman" w:eastAsia="宋体" w:cs="Times New Roman"/>
                <w:color w:val="auto"/>
                <w:sz w:val="21"/>
                <w:szCs w:val="21"/>
                <w:lang w:eastAsia="zh-CN"/>
              </w:rPr>
              <w:t>主要用于危险废物的存</w:t>
            </w:r>
            <w:r>
              <w:rPr>
                <w:rFonts w:hint="default" w:ascii="Times New Roman" w:hAnsi="Times New Roman" w:eastAsia="宋体" w:cs="Times New Roman"/>
                <w:color w:val="auto"/>
                <w:sz w:val="21"/>
                <w:szCs w:val="21"/>
                <w:lang w:val="en-US" w:eastAsia="zh-CN"/>
              </w:rPr>
              <w:t>放</w:t>
            </w:r>
            <w:r>
              <w:rPr>
                <w:rFonts w:hint="default" w:ascii="Times New Roman" w:hAnsi="Times New Roman" w:eastAsia="宋体" w:cs="Times New Roman"/>
                <w:color w:val="auto"/>
                <w:sz w:val="21"/>
                <w:szCs w:val="21"/>
                <w:lang w:eastAsia="zh-CN"/>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兴村镇</w:t>
            </w:r>
            <w:r>
              <w:rPr>
                <w:rFonts w:hint="default" w:ascii="Times New Roman" w:hAnsi="Times New Roman" w:eastAsia="宋体" w:cs="Times New Roman"/>
                <w:color w:val="auto"/>
                <w:sz w:val="21"/>
                <w:szCs w:val="21"/>
              </w:rPr>
              <w:t>供电系统提供，可满足项目用电需求。</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兴村镇</w:t>
            </w:r>
            <w:r>
              <w:rPr>
                <w:rFonts w:hint="default" w:ascii="Times New Roman" w:hAnsi="Times New Roman" w:eastAsia="宋体" w:cs="Times New Roman"/>
                <w:color w:val="auto"/>
                <w:sz w:val="21"/>
                <w:szCs w:val="21"/>
              </w:rPr>
              <w:t>供水系统提供，可满足项目用水需求。</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项目冷却水循环使用，</w:t>
            </w:r>
            <w:r>
              <w:rPr>
                <w:rFonts w:hint="default" w:ascii="Times New Roman" w:hAnsi="Times New Roman" w:eastAsia="宋体" w:cs="Times New Roman"/>
                <w:color w:val="auto"/>
                <w:sz w:val="21"/>
                <w:szCs w:val="21"/>
                <w:lang w:eastAsia="zh-CN"/>
              </w:rPr>
              <w:t>定期补充，</w:t>
            </w:r>
            <w:r>
              <w:rPr>
                <w:rFonts w:hint="default" w:ascii="Times New Roman" w:hAnsi="Times New Roman" w:eastAsia="宋体" w:cs="Times New Roman"/>
                <w:color w:val="auto"/>
                <w:sz w:val="21"/>
                <w:szCs w:val="21"/>
              </w:rPr>
              <w:t>不外排；厂内设防渗旱厕，项目生活污水排入旱厕，定期清掏，不外排。</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供热</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项目生产中全部采用电加热，冬季取暖采用空调。</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rPr>
              <w:t>混料废气通过集气罩收集后送至布袋除尘器进行处理，处理后与</w:t>
            </w:r>
            <w:r>
              <w:rPr>
                <w:rFonts w:hint="default" w:ascii="Times New Roman" w:hAnsi="Times New Roman" w:eastAsia="宋体" w:cs="Times New Roman"/>
                <w:color w:val="auto"/>
                <w:kern w:val="2"/>
                <w:sz w:val="21"/>
                <w:szCs w:val="21"/>
                <w:highlight w:val="none"/>
                <w:lang w:eastAsia="zh-CN"/>
              </w:rPr>
              <w:t>集气罩</w:t>
            </w:r>
            <w:r>
              <w:rPr>
                <w:rFonts w:hint="default" w:ascii="Times New Roman" w:hAnsi="Times New Roman" w:eastAsia="宋体" w:cs="Times New Roman"/>
                <w:color w:val="auto"/>
                <w:kern w:val="2"/>
                <w:sz w:val="21"/>
                <w:szCs w:val="21"/>
                <w:highlight w:val="none"/>
                <w:lang w:val="en-US" w:eastAsia="zh-CN"/>
              </w:rPr>
              <w:t>收集的加热挤出</w:t>
            </w:r>
            <w:r>
              <w:rPr>
                <w:rFonts w:hint="default" w:ascii="Times New Roman" w:hAnsi="Times New Roman" w:eastAsia="宋体" w:cs="Times New Roman"/>
                <w:color w:val="auto"/>
                <w:kern w:val="2"/>
                <w:sz w:val="21"/>
                <w:szCs w:val="21"/>
                <w:highlight w:val="none"/>
                <w:lang w:eastAsia="zh-CN"/>
              </w:rPr>
              <w:t>废气</w:t>
            </w:r>
            <w:r>
              <w:rPr>
                <w:rFonts w:hint="default" w:ascii="Times New Roman" w:hAnsi="Times New Roman" w:eastAsia="宋体" w:cs="Times New Roman"/>
                <w:color w:val="auto"/>
                <w:kern w:val="2"/>
                <w:sz w:val="21"/>
                <w:szCs w:val="21"/>
                <w:highlight w:val="none"/>
                <w:lang w:val="en-US" w:eastAsia="zh-CN"/>
              </w:rPr>
              <w:t>一同送至二级</w:t>
            </w:r>
            <w:r>
              <w:rPr>
                <w:rFonts w:hint="default" w:ascii="Times New Roman" w:hAnsi="Times New Roman" w:eastAsia="宋体" w:cs="Times New Roman"/>
                <w:color w:val="auto"/>
                <w:kern w:val="2"/>
                <w:sz w:val="21"/>
                <w:szCs w:val="21"/>
                <w:highlight w:val="none"/>
              </w:rPr>
              <w:t>活性炭吸附装置</w:t>
            </w:r>
            <w:r>
              <w:rPr>
                <w:rFonts w:hint="default" w:ascii="Times New Roman" w:hAnsi="Times New Roman" w:eastAsia="宋体" w:cs="Times New Roman"/>
                <w:color w:val="auto"/>
                <w:kern w:val="2"/>
                <w:sz w:val="21"/>
                <w:szCs w:val="21"/>
                <w:highlight w:val="none"/>
                <w:lang w:val="en-US" w:eastAsia="zh-CN"/>
              </w:rPr>
              <w:t>进一步处理，最终由</w:t>
            </w:r>
            <w:r>
              <w:rPr>
                <w:rFonts w:hint="default" w:ascii="Times New Roman" w:hAnsi="Times New Roman" w:eastAsia="宋体" w:cs="Times New Roman"/>
                <w:color w:val="auto"/>
                <w:kern w:val="2"/>
                <w:sz w:val="21"/>
                <w:szCs w:val="21"/>
                <w:highlight w:val="none"/>
              </w:rPr>
              <w:t>15m高排气筒</w:t>
            </w:r>
            <w:r>
              <w:rPr>
                <w:rFonts w:hint="default" w:ascii="Times New Roman" w:hAnsi="Times New Roman" w:eastAsia="宋体" w:cs="Times New Roman"/>
                <w:color w:val="auto"/>
                <w:kern w:val="2"/>
                <w:sz w:val="21"/>
                <w:szCs w:val="21"/>
                <w:highlight w:val="none"/>
                <w:lang w:val="en-US" w:eastAsia="zh-CN"/>
              </w:rPr>
              <w:t>P1排放。</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项目冷却水循环使用，定期补加，不外排；厂内设防渗旱厕，职工生活污水排入旱厕，定期清掏作农肥，不外排。</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生活垃圾由环卫部门清运处理</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一般固废：生产过程产生的</w:t>
            </w:r>
            <w:r>
              <w:rPr>
                <w:rFonts w:hint="default" w:ascii="Times New Roman" w:hAnsi="Times New Roman" w:eastAsia="宋体" w:cs="Times New Roman"/>
                <w:color w:val="auto"/>
                <w:sz w:val="21"/>
                <w:szCs w:val="21"/>
                <w:lang w:eastAsia="zh-CN"/>
              </w:rPr>
              <w:t>废包装袋、</w:t>
            </w:r>
            <w:r>
              <w:rPr>
                <w:rFonts w:hint="default" w:ascii="Times New Roman" w:hAnsi="Times New Roman" w:eastAsia="宋体" w:cs="Times New Roman"/>
                <w:color w:val="auto"/>
                <w:sz w:val="21"/>
                <w:szCs w:val="21"/>
                <w:lang w:val="en-US" w:eastAsia="zh-CN"/>
              </w:rPr>
              <w:t>边角料和不合格品</w:t>
            </w:r>
            <w:r>
              <w:rPr>
                <w:rFonts w:hint="default" w:ascii="Times New Roman" w:hAnsi="Times New Roman" w:eastAsia="宋体" w:cs="Times New Roman"/>
                <w:color w:val="auto"/>
                <w:sz w:val="21"/>
                <w:szCs w:val="21"/>
                <w:lang w:eastAsia="zh-CN"/>
              </w:rPr>
              <w:t>统一收集后外售，</w:t>
            </w:r>
            <w:r>
              <w:rPr>
                <w:rFonts w:hint="default" w:ascii="Times New Roman" w:hAnsi="Times New Roman" w:eastAsia="宋体" w:cs="Times New Roman"/>
                <w:color w:val="auto"/>
                <w:sz w:val="21"/>
                <w:szCs w:val="21"/>
                <w:lang w:val="en-US" w:eastAsia="zh-CN"/>
              </w:rPr>
              <w:t>除尘灰收集后回用于生产</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危险废物：废活性炭贮存于危废暂存间，定期委托有资质的单位处理</w:t>
            </w:r>
            <w:r>
              <w:rPr>
                <w:rFonts w:hint="default" w:ascii="Times New Roman" w:hAnsi="Times New Roman" w:eastAsia="宋体" w:cs="Times New Roman"/>
                <w:color w:val="auto"/>
                <w:sz w:val="21"/>
                <w:szCs w:val="21"/>
                <w:lang w:eastAsia="zh-CN"/>
              </w:rPr>
              <w:t>。</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选用低噪声设备、生产设备合理布局、厂房隔声等措施。</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7"/>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056"/>
        <w:gridCol w:w="2557"/>
        <w:gridCol w:w="1702"/>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056"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557" w:type="dxa"/>
            <w:vAlign w:val="center"/>
          </w:tcPr>
          <w:p>
            <w:pPr>
              <w:widowControl/>
              <w:spacing w:line="240" w:lineRule="auto"/>
              <w:jc w:val="center"/>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设施参数</w:t>
            </w:r>
          </w:p>
        </w:tc>
        <w:tc>
          <w:tcPr>
            <w:tcW w:w="1702"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p>
        </w:tc>
        <w:tc>
          <w:tcPr>
            <w:tcW w:w="1475" w:type="dxa"/>
            <w:vAlign w:val="center"/>
          </w:tcPr>
          <w:p>
            <w:pPr>
              <w:widowControl/>
              <w:spacing w:line="240" w:lineRule="auto"/>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bookmarkStart w:id="24" w:name="_Toc504325332"/>
            <w:r>
              <w:rPr>
                <w:rFonts w:hint="eastAsia" w:ascii="Times New Roman" w:hAnsi="Times New Roman" w:eastAsia="宋体" w:cs="Times New Roman"/>
                <w:kern w:val="0"/>
                <w:sz w:val="21"/>
                <w:szCs w:val="21"/>
                <w:lang w:val="en-US" w:eastAsia="zh-CN" w:bidi="ar-SA"/>
              </w:rPr>
              <w:t>1</w:t>
            </w:r>
          </w:p>
        </w:tc>
        <w:tc>
          <w:tcPr>
            <w:tcW w:w="2056"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挤出机</w:t>
            </w:r>
          </w:p>
        </w:tc>
        <w:tc>
          <w:tcPr>
            <w:tcW w:w="2557"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JCJ</w:t>
            </w:r>
          </w:p>
        </w:tc>
        <w:tc>
          <w:tcPr>
            <w:tcW w:w="1702"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c>
          <w:tcPr>
            <w:tcW w:w="1475"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2056"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切片机</w:t>
            </w:r>
          </w:p>
        </w:tc>
        <w:tc>
          <w:tcPr>
            <w:tcW w:w="2557"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QPJ</w:t>
            </w:r>
          </w:p>
        </w:tc>
        <w:tc>
          <w:tcPr>
            <w:tcW w:w="1702"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c>
          <w:tcPr>
            <w:tcW w:w="1475"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056"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混料罐</w:t>
            </w:r>
          </w:p>
        </w:tc>
        <w:tc>
          <w:tcPr>
            <w:tcW w:w="2557"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1702"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c>
          <w:tcPr>
            <w:tcW w:w="1475"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056"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冷却塔</w:t>
            </w:r>
          </w:p>
        </w:tc>
        <w:tc>
          <w:tcPr>
            <w:tcW w:w="2557"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20t</w:t>
            </w:r>
          </w:p>
        </w:tc>
        <w:tc>
          <w:tcPr>
            <w:tcW w:w="1702" w:type="dxa"/>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1台</w:t>
            </w:r>
          </w:p>
        </w:tc>
        <w:tc>
          <w:tcPr>
            <w:tcW w:w="1475" w:type="dxa"/>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1"/>
              </w:rPr>
              <w:t>1台</w:t>
            </w:r>
          </w:p>
        </w:tc>
      </w:tr>
    </w:tbl>
    <w:p>
      <w:pPr>
        <w:pStyle w:val="6"/>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-34290</wp:posOffset>
            </wp:positionH>
            <wp:positionV relativeFrom="paragraph">
              <wp:posOffset>139700</wp:posOffset>
            </wp:positionV>
            <wp:extent cx="5664200" cy="1470660"/>
            <wp:effectExtent l="0" t="0" r="12700" b="152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64200" cy="147066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9"/>
        <w:rPr>
          <w:rFonts w:hint="eastAsia"/>
          <w:lang w:eastAsia="zh-CN"/>
        </w:rPr>
      </w:pPr>
    </w:p>
    <w:p>
      <w:pPr>
        <w:rPr>
          <w:rFonts w:hint="eastAsia"/>
          <w:lang w:eastAsia="zh-CN"/>
        </w:rPr>
      </w:pPr>
    </w:p>
    <w:p>
      <w:pPr>
        <w:pStyle w:val="9"/>
        <w:rPr>
          <w:rFonts w:hint="eastAsia"/>
          <w:lang w:eastAsia="zh-CN"/>
        </w:rPr>
      </w:pPr>
    </w:p>
    <w:p>
      <w:pPr>
        <w:rPr>
          <w:rFonts w:hint="eastAsia"/>
          <w:lang w:eastAsia="zh-CN"/>
        </w:rPr>
      </w:pPr>
    </w:p>
    <w:p>
      <w:pPr>
        <w:pStyle w:val="9"/>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9"/>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产品要求，将原料聚氯乙烯树脂颗粒、钙粉、助剂、和钙粉按比例进行人工投料到混料机中进行混料，混料均匀的物料采用管道的形式进入到挤出机中，原料在挤出机中进行加热挤出，在加热挤出过程中采用电加热，加热温度160℃左右，不会达到聚氯乙烯颗粒的分解温度，加热挤出后的半成品定型后牵引至切片机，按规定尺寸切片即可得到最终产品。</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两</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由兴村镇供水管网供给</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排水：项目冷却水循环使用，定期补充，不外排；厂内设防渗旱厕，产生的生活污水排入旱厕，定期清掏，不外排</w:t>
      </w:r>
      <w:r>
        <w:rPr>
          <w:rFonts w:hint="eastAsia" w:ascii="Times New Roman" w:hAnsi="Times New Roman" w:eastAsia="宋体" w:cs="Times New Roman"/>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504325336"/>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由兴村镇供电系统提供</w:t>
      </w:r>
      <w:r>
        <w:rPr>
          <w:rFonts w:hint="default" w:ascii="Times New Roman" w:hAnsi="Times New Roman" w:eastAsia="宋体" w:cs="Times New Roman"/>
          <w:szCs w:val="21"/>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河北康润环境科技有限公司于2021年11月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2021年12月13日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河环表[2021]（12-11）号</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7"/>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88"/>
        <w:gridCol w:w="1253"/>
        <w:gridCol w:w="1798"/>
        <w:gridCol w:w="2337"/>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混料、加热挤出工序</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排气筒P1（DA001）</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eastAsia="zh-CN"/>
              </w:rPr>
              <w:t>非甲烷总烃</w:t>
            </w:r>
          </w:p>
        </w:tc>
        <w:tc>
          <w:tcPr>
            <w:tcW w:w="17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+布袋除尘器+二级活性炭吸附装置+</w:t>
            </w:r>
            <w:r>
              <w:rPr>
                <w:rFonts w:hint="default" w:ascii="Times New Roman" w:hAnsi="Times New Roman" w:eastAsia="宋体" w:cs="Times New Roman"/>
                <w:color w:val="auto"/>
                <w:sz w:val="21"/>
                <w:szCs w:val="21"/>
                <w:highlight w:val="none"/>
              </w:rPr>
              <w:t>15m排气筒</w:t>
            </w:r>
            <w:r>
              <w:rPr>
                <w:rFonts w:hint="default" w:ascii="Times New Roman" w:hAnsi="Times New Roman" w:eastAsia="宋体" w:cs="Times New Roman"/>
                <w:color w:val="auto"/>
                <w:sz w:val="21"/>
                <w:szCs w:val="21"/>
                <w:highlight w:val="none"/>
                <w:lang w:val="en-US" w:eastAsia="zh-CN"/>
              </w:rPr>
              <w:t>P1</w:t>
            </w:r>
          </w:p>
        </w:tc>
        <w:tc>
          <w:tcPr>
            <w:tcW w:w="23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rPr>
              <w:t>颗粒物执行《大气污染物综合排放标准》（GB16297-1996）表2颗粒物（碳黑尘、染料尘）二级排放标准，非甲烷总烃执行</w:t>
            </w:r>
            <w:r>
              <w:rPr>
                <w:rFonts w:hint="default" w:ascii="Times New Roman" w:hAnsi="Times New Roman" w:eastAsia="宋体" w:cs="Times New Roman"/>
                <w:color w:val="auto"/>
                <w:kern w:val="2"/>
                <w:sz w:val="21"/>
                <w:szCs w:val="21"/>
                <w:highlight w:val="none"/>
              </w:rPr>
              <w:t>《工业企业挥发性有机物排放控制标准》（DB13/2322—2016）表</w:t>
            </w:r>
            <w:r>
              <w:rPr>
                <w:rFonts w:hint="default" w:ascii="Times New Roman" w:hAnsi="Times New Roman" w:eastAsia="宋体" w:cs="Times New Roman"/>
                <w:color w:val="auto"/>
                <w:kern w:val="2"/>
                <w:sz w:val="21"/>
                <w:szCs w:val="21"/>
                <w:highlight w:val="none"/>
                <w:lang w:val="en-US" w:eastAsia="zh-CN"/>
              </w:rPr>
              <w:t>1其他行业</w:t>
            </w:r>
            <w:r>
              <w:rPr>
                <w:rFonts w:hint="default" w:ascii="Times New Roman" w:hAnsi="Times New Roman" w:eastAsia="宋体" w:cs="Times New Roman"/>
                <w:color w:val="auto"/>
                <w:kern w:val="2"/>
                <w:sz w:val="21"/>
                <w:szCs w:val="21"/>
                <w:highlight w:val="none"/>
              </w:rPr>
              <w:t>中大气污染物排放限值</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无组织废气</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eastAsia="zh-CN"/>
              </w:rPr>
              <w:t>非甲烷总烃</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盛装原料的包装袋存放于室内，在非取用状态时应加盖、封口，保持密闭；采用密闭的容器进行物料转移；</w:t>
            </w:r>
            <w:r>
              <w:rPr>
                <w:rFonts w:hint="default" w:ascii="Times New Roman" w:hAnsi="Times New Roman" w:eastAsia="宋体" w:cs="Times New Roman"/>
                <w:color w:val="auto"/>
                <w:sz w:val="21"/>
                <w:szCs w:val="21"/>
                <w:highlight w:val="none"/>
              </w:rPr>
              <w:t>车间密闭，加强收集减少无组织废气的排放</w:t>
            </w:r>
            <w:r>
              <w:rPr>
                <w:rFonts w:hint="default" w:ascii="Times New Roman" w:hAnsi="Times New Roman" w:eastAsia="宋体" w:cs="Times New Roman"/>
                <w:color w:val="auto"/>
                <w:sz w:val="21"/>
                <w:szCs w:val="21"/>
                <w:highlight w:val="none"/>
                <w:lang w:eastAsia="zh-CN"/>
              </w:rPr>
              <w:t>；</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0"/>
                <w:sz w:val="21"/>
                <w:szCs w:val="21"/>
                <w:highlight w:val="none"/>
                <w:u w:val="none" w:color="auto"/>
                <w:lang w:val="en-US" w:eastAsia="zh-CN"/>
              </w:rPr>
              <w:t>颗粒物执行</w:t>
            </w:r>
            <w:r>
              <w:rPr>
                <w:rFonts w:hint="default" w:ascii="Times New Roman" w:hAnsi="Times New Roman" w:eastAsia="宋体" w:cs="Times New Roman"/>
                <w:color w:val="auto"/>
                <w:kern w:val="2"/>
                <w:sz w:val="21"/>
                <w:szCs w:val="21"/>
                <w:highlight w:val="none"/>
                <w:lang w:val="en-US" w:eastAsia="zh-CN"/>
              </w:rPr>
              <w:t>颗粒物执行《大气污染物综合排放标准》（GB16297-1996）表2颗粒物（碳黑尘、染料尘）无组织排放监控浓度限值，非甲烷总烃执行</w:t>
            </w:r>
            <w:r>
              <w:rPr>
                <w:rFonts w:hint="default" w:ascii="Times New Roman" w:hAnsi="Times New Roman" w:eastAsia="宋体" w:cs="Times New Roman"/>
                <w:color w:val="auto"/>
                <w:spacing w:val="-10"/>
                <w:sz w:val="21"/>
                <w:szCs w:val="21"/>
                <w:highlight w:val="none"/>
                <w:u w:val="none" w:color="auto"/>
              </w:rPr>
              <w:t>《工业企业挥发性有机物排放控制标准》</w:t>
            </w:r>
            <w:r>
              <w:rPr>
                <w:rFonts w:hint="default" w:ascii="Times New Roman" w:hAnsi="Times New Roman" w:eastAsia="宋体" w:cs="Times New Roman"/>
                <w:color w:val="auto"/>
                <w:sz w:val="21"/>
                <w:szCs w:val="21"/>
                <w:highlight w:val="none"/>
                <w:u w:val="none" w:color="auto"/>
              </w:rPr>
              <w:t>(DB13/2322-2016)表2其他企业边界浓度限值</w:t>
            </w:r>
            <w:r>
              <w:rPr>
                <w:rFonts w:hint="default" w:ascii="Times New Roman" w:hAnsi="Times New Roman" w:eastAsia="宋体" w:cs="Times New Roman"/>
                <w:color w:val="auto"/>
                <w:sz w:val="21"/>
                <w:szCs w:val="21"/>
                <w:highlight w:val="none"/>
                <w:u w:val="none" w:color="auto"/>
                <w:lang w:eastAsia="zh-CN"/>
              </w:rPr>
              <w:t>及</w:t>
            </w:r>
            <w:r>
              <w:rPr>
                <w:rFonts w:hint="default" w:ascii="Times New Roman" w:hAnsi="Times New Roman" w:eastAsia="宋体" w:cs="Times New Roman"/>
                <w:color w:val="auto"/>
                <w:spacing w:val="-6"/>
                <w:kern w:val="2"/>
                <w:sz w:val="21"/>
                <w:szCs w:val="21"/>
                <w:highlight w:val="none"/>
              </w:rPr>
              <w:t>《挥发性有机物无组织排放控制标准》</w:t>
            </w:r>
            <w:r>
              <w:rPr>
                <w:rFonts w:hint="default" w:ascii="Times New Roman" w:hAnsi="Times New Roman" w:eastAsia="宋体" w:cs="Times New Roman"/>
                <w:color w:val="auto"/>
                <w:kern w:val="2"/>
                <w:sz w:val="21"/>
                <w:szCs w:val="21"/>
                <w:highlight w:val="none"/>
              </w:rPr>
              <w:t>（GB37822-2019）表A.1无组织排放限值</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地表水环境</w:t>
            </w:r>
          </w:p>
        </w:tc>
        <w:tc>
          <w:tcPr>
            <w:tcW w:w="12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生活污水</w:t>
            </w:r>
          </w:p>
        </w:tc>
        <w:tc>
          <w:tcPr>
            <w:tcW w:w="12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氨氮</w:t>
            </w:r>
          </w:p>
        </w:tc>
        <w:tc>
          <w:tcPr>
            <w:tcW w:w="1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72"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厂内设防渗旱厕，生活污水排入旱厕，定期清掏，不外排</w:t>
            </w:r>
          </w:p>
        </w:tc>
        <w:tc>
          <w:tcPr>
            <w:tcW w:w="23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不外排</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冷却水</w:t>
            </w:r>
          </w:p>
        </w:tc>
        <w:tc>
          <w:tcPr>
            <w:tcW w:w="12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SS</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冷却水循环使用，定期补充</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不外排</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设备噪声</w:t>
            </w:r>
          </w:p>
        </w:tc>
        <w:tc>
          <w:tcPr>
            <w:tcW w:w="12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等效连续A声级</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选用低噪声设备、安装减振装置、生产设备合理布局、厂房隔声等措施</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2类标准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667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生活垃圾由环卫部门清运处理。一般固废：生产过程产生的废包装袋、边角料和不合格品统一收集后外售，除尘灰收集后回用于生产。</w:t>
            </w:r>
          </w:p>
          <w:p>
            <w:pPr>
              <w:keepNext w:val="0"/>
              <w:keepLines w:val="0"/>
              <w:pageBreakBefore w:val="0"/>
              <w:widowControl w:val="0"/>
              <w:kinsoku/>
              <w:wordWrap/>
              <w:overflowPunct/>
              <w:topLinePunct w:val="0"/>
              <w:autoSpaceDE/>
              <w:autoSpaceDN/>
              <w:bidi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危险废物：废活性炭贮存于危废暂存间，定期委托有资质的单位处理。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6676"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①</w:t>
            </w:r>
            <w:r>
              <w:rPr>
                <w:rFonts w:hint="default" w:ascii="Times New Roman" w:hAnsi="Times New Roman" w:eastAsia="宋体" w:cs="Times New Roman"/>
                <w:bCs/>
                <w:color w:val="auto"/>
                <w:sz w:val="21"/>
                <w:szCs w:val="21"/>
              </w:rPr>
              <w:t>加强设备设施的维护和管理，防止废水的跑冒滴漏和非正常状况；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②生产车间采用地面硬化处理；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③防渗旱厕</w:t>
            </w:r>
            <w:r>
              <w:rPr>
                <w:rFonts w:hint="default" w:ascii="Times New Roman" w:hAnsi="Times New Roman" w:eastAsia="宋体" w:cs="Times New Roman"/>
                <w:bCs/>
                <w:color w:val="auto"/>
                <w:sz w:val="21"/>
                <w:szCs w:val="21"/>
              </w:rPr>
              <w:t>用三合土铺底，再在上层铺15～20cm的水泥浇底，四周壁用混凝土结构，渗透系数≤10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cm/s。</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lang w:val="en-US" w:eastAsia="zh-CN"/>
              </w:rPr>
              <w:t>④</w:t>
            </w:r>
            <w:r>
              <w:rPr>
                <w:rFonts w:hint="default" w:ascii="Times New Roman" w:hAnsi="Times New Roman" w:eastAsia="宋体" w:cs="Times New Roman"/>
                <w:bCs/>
                <w:color w:val="auto"/>
                <w:sz w:val="21"/>
                <w:szCs w:val="21"/>
              </w:rPr>
              <w:t>危险废物暂存间</w:t>
            </w:r>
            <w:r>
              <w:rPr>
                <w:rFonts w:hint="default" w:ascii="Times New Roman" w:hAnsi="Times New Roman" w:eastAsia="宋体" w:cs="Times New Roman"/>
                <w:bCs/>
                <w:color w:val="auto"/>
                <w:sz w:val="21"/>
                <w:szCs w:val="21"/>
                <w:lang w:val="en-US" w:eastAsia="zh-CN"/>
              </w:rPr>
              <w:t>底部铺设300mm粘土层（保护层，同时作为辅助防渗层）压实平整，粘土层上铺设2mm厚的高密度聚乙烯膜），上部外加耐腐蚀混凝土15cm（保护层）防渗，表面涂2-4mm厚防腐、抗渗环氧树脂，</w:t>
            </w:r>
            <w:r>
              <w:rPr>
                <w:rFonts w:hint="default" w:ascii="Times New Roman" w:hAnsi="Times New Roman" w:eastAsia="宋体" w:cs="Times New Roman"/>
                <w:bCs/>
                <w:color w:val="auto"/>
                <w:sz w:val="21"/>
                <w:szCs w:val="21"/>
              </w:rPr>
              <w:t>防渗层渗透系数小于1×10</w:t>
            </w:r>
            <w:r>
              <w:rPr>
                <w:rFonts w:hint="default" w:ascii="Times New Roman" w:hAnsi="Times New Roman" w:eastAsia="宋体" w:cs="Times New Roman"/>
                <w:bCs/>
                <w:color w:val="auto"/>
                <w:sz w:val="21"/>
                <w:szCs w:val="21"/>
                <w:vertAlign w:val="superscript"/>
              </w:rPr>
              <w:t>-10</w:t>
            </w:r>
            <w:r>
              <w:rPr>
                <w:rFonts w:hint="default" w:ascii="Times New Roman" w:hAnsi="Times New Roman" w:eastAsia="宋体" w:cs="Times New Roman"/>
                <w:bCs/>
                <w:color w:val="auto"/>
                <w:sz w:val="21"/>
                <w:szCs w:val="21"/>
              </w:rPr>
              <w:t>cm/s</w:t>
            </w:r>
            <w:r>
              <w:rPr>
                <w:rFonts w:hint="default" w:ascii="Times New Roman" w:hAnsi="Times New Roman" w:eastAsia="宋体" w:cs="Times New Roman"/>
                <w:color w:val="auto"/>
                <w:sz w:val="21"/>
                <w:szCs w:val="21"/>
                <w:highlight w:val="none"/>
              </w:rPr>
              <w:t>。</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已做硬化处理</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37" w:name="_Toc504325342"/>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河间市兴村镇北石家村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冷却水循环使用，定期补充，不外排；厂内设防渗旱厕，产生的生活污水排入旱厕，定期清掏，不外排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w:t>
      </w:r>
      <w:r>
        <w:rPr>
          <w:rFonts w:hint="default" w:ascii="Times New Roman" w:hAnsi="Times New Roman" w:eastAsia="宋体" w:cs="Times New Roman"/>
          <w:sz w:val="24"/>
          <w:szCs w:val="24"/>
          <w:lang w:val="en-US" w:eastAsia="zh-CN"/>
        </w:rPr>
        <w:t>程</w:t>
      </w:r>
      <w:r>
        <w:rPr>
          <w:rFonts w:hint="eastAsia" w:ascii="Times New Roman" w:hAnsi="Times New Roman" w:eastAsia="宋体" w:cs="Times New Roman"/>
          <w:sz w:val="24"/>
          <w:szCs w:val="24"/>
          <w:lang w:val="en-US" w:eastAsia="zh-CN"/>
        </w:rPr>
        <w:t>混料、加热挤出工序废气经布袋除尘</w:t>
      </w:r>
      <w:r>
        <w:rPr>
          <w:rFonts w:hint="eastAsia" w:ascii="Times New Roman" w:hAnsi="Times New Roman" w:eastAsia="宋体" w:cs="Times New Roman"/>
          <w:sz w:val="24"/>
          <w:szCs w:val="24"/>
          <w:lang w:val="en-US" w:eastAsia="zh-CN"/>
        </w:rPr>
        <w:t>器+二级活性炭吸附装置处理后由1根15m高排气筒排放，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6"/>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7"/>
        <w:spacing w:line="440" w:lineRule="atLeast"/>
        <w:rPr>
          <w:rFonts w:hint="default" w:ascii="Times New Roman" w:hAnsi="Times New Roman" w:cs="Times New Roman"/>
        </w:rPr>
      </w:pPr>
      <w:bookmarkStart w:id="41" w:name="_Toc504325346"/>
      <w:bookmarkStart w:id="42" w:name="_Toc496979024"/>
      <w:bookmarkStart w:id="43" w:name="_Toc497001461"/>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项目冷却水循环使用，定期补充，不外排；厂内设防渗旱厕，产生的生活污水排入旱厕，定期清掏，不外排。</w:t>
      </w:r>
    </w:p>
    <w:p>
      <w:pPr>
        <w:pStyle w:val="7"/>
        <w:rPr>
          <w:rFonts w:hint="default" w:ascii="Times New Roman" w:hAnsi="Times New Roman" w:cs="Times New Roman"/>
        </w:rPr>
      </w:pPr>
      <w:bookmarkStart w:id="44" w:name="_Toc497001462"/>
      <w:bookmarkStart w:id="45" w:name="_Toc496979025"/>
      <w:bookmarkStart w:id="46" w:name="_Toc504325347"/>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项目混料、加热挤出工序废气经布袋除尘器+二级活性炭吸附装置处理后经1根15m高排气筒排放。</w:t>
      </w:r>
    </w:p>
    <w:p>
      <w:pPr>
        <w:pStyle w:val="7"/>
        <w:rPr>
          <w:rFonts w:hint="default" w:ascii="Times New Roman" w:hAnsi="Times New Roman" w:cs="Times New Roman"/>
        </w:rPr>
      </w:pPr>
      <w:bookmarkStart w:id="47" w:name="_Toc496979026"/>
      <w:bookmarkStart w:id="48" w:name="_Toc497001463"/>
      <w:bookmarkStart w:id="49" w:name="_Toc504325348"/>
      <w:r>
        <w:rPr>
          <w:rFonts w:hint="default" w:ascii="Times New Roman" w:hAnsi="Times New Roman" w:cs="Times New Roman"/>
        </w:rPr>
        <w:t>3.2.3噪声</w:t>
      </w:r>
      <w:bookmarkEnd w:id="47"/>
      <w:bookmarkEnd w:id="48"/>
      <w:bookmarkEnd w:id="49"/>
    </w:p>
    <w:p>
      <w:pPr>
        <w:pStyle w:val="64"/>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项目噪声来源主要为生产设备运行产生噪声，项目主要产噪设备均在厂房内合理布置，并采取隔声减震等降噪措施，再经过距离衰减后排入周边环境</w:t>
      </w:r>
      <w:r>
        <w:rPr>
          <w:rFonts w:hint="default" w:ascii="Times New Roman" w:hAnsi="Times New Roman" w:eastAsia="宋体" w:cs="Times New Roman"/>
          <w:spacing w:val="0"/>
          <w:sz w:val="24"/>
          <w:szCs w:val="24"/>
        </w:rPr>
        <w:t>。</w:t>
      </w:r>
    </w:p>
    <w:p>
      <w:pPr>
        <w:pStyle w:val="7"/>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90"/>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项目产生的固体废物主要包括不合格品、废包装袋、边角料、除尘灰、废活性炭以及职工生活垃圾。</w:t>
      </w:r>
    </w:p>
    <w:p>
      <w:pPr>
        <w:pStyle w:val="90"/>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品检验过程中产生的不合格品统一收集后外售；项目切片过程产生的边角料统一收集后外售；原料使用过程产生的废包装袋统一收集后外售；布袋除尘器收集的除尘灰统一收集后回用于生产；项目活性炭吸附装置产生的废活性炭集中收集后暂存危废间，定期交由有资质单位处置；职工生活垃圾收集后由环卫部门清运处理</w:t>
      </w:r>
      <w:r>
        <w:rPr>
          <w:rFonts w:hint="eastAsia" w:ascii="Times New Roman" w:hAnsi="Times New Roman" w:cs="Times New Roman"/>
          <w:spacing w:val="0"/>
          <w:kern w:val="2"/>
          <w:sz w:val="24"/>
          <w:szCs w:val="24"/>
          <w:lang w:val="en-US" w:eastAsia="zh-CN" w:bidi="ar-SA"/>
        </w:rPr>
        <w:t>。</w:t>
      </w:r>
    </w:p>
    <w:bookmarkEnd w:id="53"/>
    <w:p>
      <w:pPr>
        <w:pStyle w:val="9"/>
        <w:rPr>
          <w:rFonts w:hint="eastAsia" w:ascii="Times New Roman" w:hAnsi="Times New Roman" w:eastAsia="宋体" w:cs="Times New Roman"/>
          <w:sz w:val="24"/>
          <w:szCs w:val="24"/>
          <w:lang w:eastAsia="zh-CN"/>
        </w:rPr>
      </w:pPr>
      <w:bookmarkStart w:id="54" w:name="_Toc504325351"/>
    </w:p>
    <w:p>
      <w:pPr>
        <w:pStyle w:val="9"/>
        <w:rPr>
          <w:rFonts w:hint="default" w:ascii="Times New Roman" w:hAnsi="Times New Roman" w:cs="Times New Roman"/>
        </w:rPr>
      </w:pPr>
    </w:p>
    <w:p>
      <w:pPr>
        <w:pStyle w:val="9"/>
        <w:rPr>
          <w:rFonts w:hint="default" w:ascii="Times New Roman" w:hAnsi="Times New Roman" w:cs="Times New Roman"/>
        </w:rPr>
      </w:pPr>
    </w:p>
    <w:p>
      <w:pPr>
        <w:pStyle w:val="9"/>
        <w:jc w:val="center"/>
        <w:rPr>
          <w:rFonts w:hint="default" w:ascii="Times New Roman" w:hAnsi="Times New Roman" w:cs="Times New Roman"/>
        </w:rPr>
      </w:pPr>
    </w:p>
    <w:p>
      <w:pPr>
        <w:pStyle w:val="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497001468"/>
      <w:bookmarkStart w:id="57" w:name="_Toc496979031"/>
      <w:bookmarkStart w:id="58" w:name="_Toc504325354"/>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本项目选址和建设符合国家和地方环境保护政策，项目配套污染防治措施，可实现污染物达标排放，对环境影响较小，在落实环境管理和正确稳定运行环保设施措施的前提下，从环境保护角度分析，项目建设可行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河环表[2021]（12-11）号。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7"/>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建设单位：河间市亿彩塑料制品厂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建设单位地址：河间市兴村镇北石家村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混料、加热挤出工序废气经集气罩+布袋除尘器+二级活性炭吸附装置处理后，颗粒物要达到《大气污染物综合排放标准》（GB 16297-1996）表2二级标准及无组织排放监控浓度限值要求；非甲烷总烃要达到《工业企业挥发性有机物排放控制标准》（DB13/2322-2016）表1“其他行业”、表2标准，同时满足《挥发性有机物无组织排放控制标准》（GB 37822-2019）表A.1无组织特别排放限值。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废水：生活污水排入厂区防渗旱厕，定期清掏；冷却水循环使用，不得外排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9"/>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6"/>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7"/>
        <w:rPr>
          <w:rFonts w:hint="default" w:ascii="Times New Roman" w:hAnsi="Times New Roman" w:cs="Times New Roman"/>
        </w:rPr>
      </w:pPr>
      <w:bookmarkStart w:id="64" w:name="_Toc496979035"/>
      <w:bookmarkStart w:id="65" w:name="_Toc497001474"/>
      <w:bookmarkStart w:id="66" w:name="_Toc504325359"/>
      <w:r>
        <w:rPr>
          <w:rFonts w:hint="default" w:ascii="Times New Roman" w:hAnsi="Times New Roman" w:cs="Times New Roman"/>
        </w:rPr>
        <w:t>5.1.</w:t>
      </w:r>
      <w:bookmarkEnd w:id="64"/>
      <w:bookmarkEnd w:id="65"/>
      <w:bookmarkStart w:id="67" w:name="_Toc496979036"/>
      <w:bookmarkStart w:id="68"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w:t>
      </w:r>
      <w:r>
        <w:rPr>
          <w:rFonts w:hint="default" w:ascii="Times New Roman" w:hAnsi="Times New Roman" w:eastAsia="宋体" w:cs="Times New Roman"/>
          <w:sz w:val="24"/>
          <w:szCs w:val="24"/>
          <w:lang w:eastAsia="zh-CN"/>
        </w:rPr>
        <w:t>行</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w:t>
      </w:r>
      <w:r>
        <w:rPr>
          <w:rFonts w:hint="default" w:ascii="Times New Roman" w:hAnsi="Times New Roman" w:eastAsia="宋体" w:cs="Times New Roman"/>
          <w:color w:val="auto"/>
          <w:spacing w:val="0"/>
          <w:w w:val="100"/>
          <w:kern w:val="2"/>
          <w:sz w:val="24"/>
          <w:szCs w:val="24"/>
          <w:highlight w:val="none"/>
          <w:lang w:val="en-US" w:eastAsia="zh-CN" w:bidi="ar-SA"/>
        </w:rPr>
        <w:t>标准》（GB 16297-1996）</w:t>
      </w:r>
      <w:r>
        <w:rPr>
          <w:rFonts w:hint="eastAsia" w:ascii="Times New Roman" w:hAnsi="Times New Roman" w:eastAsia="宋体" w:cs="Times New Roman"/>
          <w:color w:val="auto"/>
          <w:spacing w:val="0"/>
          <w:w w:val="100"/>
          <w:kern w:val="2"/>
          <w:sz w:val="24"/>
          <w:szCs w:val="24"/>
          <w:highlight w:val="none"/>
          <w:lang w:val="en-US" w:eastAsia="zh-CN" w:bidi="ar-SA"/>
        </w:rPr>
        <w:t>表2颗粒物（碳黑尘、染料尘）二级排放标准</w:t>
      </w:r>
      <w:r>
        <w:rPr>
          <w:rFonts w:hint="default" w:ascii="Times New Roman" w:hAnsi="Times New Roman" w:eastAsia="宋体" w:cs="Times New Roman"/>
          <w:color w:val="auto"/>
          <w:spacing w:val="0"/>
          <w:w w:val="100"/>
          <w:kern w:val="2"/>
          <w:sz w:val="24"/>
          <w:szCs w:val="24"/>
          <w:highlight w:val="none"/>
          <w:lang w:val="en-US" w:eastAsia="zh-CN" w:bidi="ar-SA"/>
        </w:rPr>
        <w:t>及无组织排放监控浓度</w:t>
      </w:r>
      <w:r>
        <w:rPr>
          <w:rFonts w:hint="default" w:ascii="Times New Roman" w:hAnsi="Times New Roman" w:eastAsia="宋体" w:cs="Times New Roman"/>
          <w:color w:val="auto"/>
          <w:spacing w:val="0"/>
          <w:w w:val="100"/>
          <w:kern w:val="2"/>
          <w:sz w:val="24"/>
          <w:szCs w:val="24"/>
          <w:highlight w:val="none"/>
          <w:lang w:val="en-US" w:eastAsia="zh-CN" w:bidi="ar-SA"/>
        </w:rPr>
        <w:t>限值；《工业企业挥发性有机物排放控制标准》（DB 13/2322-2016</w:t>
      </w:r>
      <w:r>
        <w:rPr>
          <w:rFonts w:hint="default" w:ascii="Times New Roman" w:hAnsi="Times New Roman" w:eastAsia="宋体" w:cs="Times New Roman"/>
          <w:color w:val="auto"/>
          <w:spacing w:val="0"/>
          <w:w w:val="100"/>
          <w:kern w:val="2"/>
          <w:sz w:val="24"/>
          <w:szCs w:val="24"/>
          <w:highlight w:val="none"/>
          <w:lang w:val="en-US" w:eastAsia="zh-CN" w:bidi="ar-SA"/>
        </w:rPr>
        <w:t>）</w:t>
      </w:r>
      <w:r>
        <w:rPr>
          <w:rFonts w:hint="eastAsia" w:ascii="Times New Roman" w:hAnsi="Times New Roman" w:eastAsia="宋体" w:cs="Times New Roman"/>
          <w:color w:val="auto"/>
          <w:spacing w:val="0"/>
          <w:w w:val="100"/>
          <w:kern w:val="2"/>
          <w:sz w:val="24"/>
          <w:szCs w:val="24"/>
          <w:highlight w:val="none"/>
          <w:lang w:val="en-US" w:eastAsia="zh-CN" w:bidi="ar-SA"/>
        </w:rPr>
        <w:t>表1其他行业中大气污染物排放限值</w:t>
      </w:r>
      <w:r>
        <w:rPr>
          <w:rFonts w:hint="default" w:ascii="Times New Roman" w:hAnsi="Times New Roman" w:eastAsia="宋体" w:cs="Times New Roman"/>
          <w:color w:val="auto"/>
          <w:spacing w:val="0"/>
          <w:w w:val="100"/>
          <w:kern w:val="2"/>
          <w:sz w:val="24"/>
          <w:szCs w:val="24"/>
          <w:highlight w:val="none"/>
          <w:lang w:val="en-US" w:eastAsia="zh-CN" w:bidi="ar-SA"/>
        </w:rPr>
        <w:t>、表2其他企业边界大气污染物浓度限值</w:t>
      </w:r>
      <w:r>
        <w:rPr>
          <w:rFonts w:hint="default" w:ascii="Times New Roman" w:hAnsi="Times New Roman" w:eastAsia="宋体" w:cs="Times New Roman"/>
          <w:color w:val="auto"/>
          <w:spacing w:val="0"/>
          <w:w w:val="100"/>
          <w:kern w:val="2"/>
          <w:sz w:val="24"/>
          <w:szCs w:val="24"/>
          <w:highlight w:val="none"/>
          <w:lang w:val="en-US" w:eastAsia="zh-CN" w:bidi="ar-SA"/>
        </w:rPr>
        <w:t>；《挥发性有机物无组织排放控制标准》（GB 37822-2019）表A.1厂区内VOC</w:t>
      </w:r>
      <w:r>
        <w:rPr>
          <w:rFonts w:hint="default" w:ascii="Times New Roman" w:hAnsi="Times New Roman" w:eastAsia="宋体" w:cs="Times New Roman"/>
          <w:color w:val="auto"/>
          <w:spacing w:val="0"/>
          <w:w w:val="100"/>
          <w:kern w:val="2"/>
          <w:sz w:val="24"/>
          <w:szCs w:val="24"/>
          <w:highlight w:val="none"/>
          <w:vertAlign w:val="subscript"/>
          <w:lang w:val="en-US" w:eastAsia="zh-CN" w:bidi="ar-SA"/>
        </w:rPr>
        <w:t>S</w:t>
      </w:r>
      <w:r>
        <w:rPr>
          <w:rFonts w:hint="default" w:ascii="Times New Roman" w:hAnsi="Times New Roman" w:eastAsia="宋体"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6979037"/>
      <w:bookmarkStart w:id="70"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7"/>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1671"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混料、加热挤出工序</w:t>
            </w: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13/2322-2016）表1其他行业中大气污染物排放限值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67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18</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0.51k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《大气污染物综合排放标准》（GB 16297-1996）表2颗粒物（碳黑尘、染料尘）二级排放标准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《大气污染物综合排放标准》（GB 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《挥发性有机物无组织排放控制标准》（GB37822-2019）表A.1厂区内VOC</w:t>
            </w:r>
            <w:r>
              <w:rPr>
                <w:rFonts w:hint="eastAsia" w:ascii="Times New Roman" w:hAnsi="Times New Roman" w:eastAsia="宋体" w:cs="Times New Roman"/>
                <w:b w:val="0"/>
                <w:bCs/>
                <w:sz w:val="21"/>
                <w:szCs w:val="21"/>
                <w:vertAlign w:val="subscript"/>
                <w:lang w:eastAsia="zh-CN"/>
              </w:rPr>
              <w:t>S</w:t>
            </w:r>
            <w:r>
              <w:rPr>
                <w:rFonts w:hint="eastAsia" w:ascii="Times New Roman" w:hAnsi="Times New Roman" w:eastAsia="宋体" w:cs="Times New Roman"/>
                <w:b w:val="0"/>
                <w:bCs/>
                <w:sz w:val="21"/>
                <w:szCs w:val="21"/>
                <w:lang w:eastAsia="zh-CN"/>
              </w:rPr>
              <w:t>无组织排放限值中特别排放限值</w:t>
            </w:r>
          </w:p>
        </w:tc>
      </w:tr>
    </w:tbl>
    <w:p>
      <w:pPr>
        <w:rPr>
          <w:rFonts w:hint="default" w:ascii="Times New Roman" w:hAnsi="Times New Roman" w:cs="Times New Roman"/>
        </w:rPr>
      </w:pPr>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7001477"/>
      <w:bookmarkStart w:id="73" w:name="_Toc496979038"/>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9"/>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9"/>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9"/>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9"/>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9"/>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tcBorders/>
            <w:vAlign w:val="center"/>
          </w:tcPr>
          <w:p>
            <w:pPr>
              <w:spacing w:line="300" w:lineRule="exact"/>
              <w:jc w:val="center"/>
              <w:rPr>
                <w:rFonts w:hint="default"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6"/>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项目污染物建议总量控制指标为化学需氧量：0t/a，氨氮：0t/a，二氧化硫：0t/a，氮氧化物：0t/a，非甲烷总烃：1.920t/a，颗粒物：0.432t/a</w:t>
      </w:r>
      <w:r>
        <w:rPr>
          <w:rFonts w:hint="default" w:ascii="Times New Roman" w:hAnsi="Times New Roman" w:eastAsia="宋体" w:cs="Times New Roman"/>
          <w:sz w:val="24"/>
          <w:szCs w:val="24"/>
          <w:lang w:val="en-US" w:eastAsia="zh-CN"/>
        </w:rPr>
        <w:t>。</w:t>
      </w:r>
    </w:p>
    <w:p>
      <w:pPr>
        <w:pStyle w:val="5"/>
        <w:rPr>
          <w:rFonts w:hint="default" w:ascii="Times New Roman" w:hAnsi="Times New Roman" w:cs="Times New Roman"/>
        </w:rPr>
      </w:pPr>
      <w:bookmarkStart w:id="75" w:name="_Toc504325363"/>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2022年05月27日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2022年05月28日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497001482"/>
      <w:bookmarkStart w:id="80" w:name="_Toc504325366"/>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3"/>
        <w:gridCol w:w="199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683"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2"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3"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混料、加热挤出工序废气排气筒进口</w:t>
            </w:r>
            <w:r>
              <w:rPr>
                <w:rFonts w:hint="eastAsia" w:ascii="Times New Roman" w:hAnsi="Times New Roman" w:eastAsia="宋体" w:cs="Times New Roman"/>
              </w:rPr>
              <w:t>设1个检测点位</w:t>
            </w:r>
          </w:p>
        </w:tc>
        <w:tc>
          <w:tcPr>
            <w:tcW w:w="1992"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3"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Merge w:val="restart"/>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混料、加热挤出工序废气排气筒出口</w:t>
            </w:r>
            <w:r>
              <w:rPr>
                <w:rFonts w:hint="eastAsia" w:ascii="Times New Roman" w:hAnsi="Times New Roman" w:eastAsia="宋体" w:cs="Times New Roman"/>
              </w:rPr>
              <w:t>设1个检测点位</w:t>
            </w:r>
          </w:p>
        </w:tc>
        <w:tc>
          <w:tcPr>
            <w:tcW w:w="1992"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Merge w:val="continue"/>
            <w:vAlign w:val="center"/>
          </w:tcPr>
          <w:p>
            <w:pPr>
              <w:spacing w:line="240" w:lineRule="auto"/>
              <w:ind w:right="139" w:rightChars="66"/>
              <w:jc w:val="center"/>
              <w:rPr>
                <w:rFonts w:hint="eastAsia" w:ascii="Times New Roman" w:hAnsi="Times New Roman" w:eastAsia="宋体" w:cs="Times New Roman"/>
              </w:rPr>
            </w:pPr>
          </w:p>
        </w:tc>
        <w:tc>
          <w:tcPr>
            <w:tcW w:w="1992"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rPr>
            </w:pPr>
            <w:r>
              <w:rPr>
                <w:rFonts w:hint="eastAsia" w:ascii="Times New Roman" w:hAnsi="Times New Roman" w:eastAsia="宋体" w:cs="Times New Roman"/>
                <w:lang w:val="en-US" w:eastAsia="zh-CN"/>
              </w:rPr>
              <w:t>颗粒物</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rPr>
          <w:rFonts w:hint="default" w:ascii="Times New Roman" w:hAnsi="Times New Roman" w:cs="Times New Roman"/>
        </w:rPr>
      </w:pPr>
      <w:bookmarkStart w:id="82" w:name="_Toc504325367"/>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592"/>
        <w:gridCol w:w="120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59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435"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 38-2017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pacing w:val="0"/>
                <w:sz w:val="21"/>
                <w:szCs w:val="21"/>
                <w:lang w:eastAsia="zh-CN"/>
              </w:rPr>
              <w:t>YQ3000-C</w:t>
            </w:r>
            <w:r>
              <w:rPr>
                <w:rFonts w:hint="eastAsia" w:ascii="Times New Roman" w:hAnsi="Times New Roman" w:eastAsia="宋体" w:cs="Times New Roman"/>
                <w:spacing w:val="0"/>
                <w:sz w:val="21"/>
                <w:szCs w:val="21"/>
                <w:lang w:eastAsia="zh-CN"/>
              </w:rPr>
              <w:t>全自动烟尘（气）测试仪</w:t>
            </w:r>
            <w:r>
              <w:rPr>
                <w:rFonts w:hint="default" w:ascii="Times New Roman" w:hAnsi="Times New Roman" w:eastAsia="宋体" w:cs="Times New Roman"/>
                <w:color w:val="000000"/>
                <w:kern w:val="0"/>
                <w:sz w:val="21"/>
                <w:szCs w:val="21"/>
                <w:lang w:val="en-US" w:eastAsia="zh-CN"/>
              </w:rPr>
              <w:t>（</w:t>
            </w:r>
            <w:r>
              <w:rPr>
                <w:rFonts w:hint="eastAsia" w:ascii="Times New Roman" w:hAnsi="Times New Roman" w:eastAsia="宋体" w:cs="Times New Roman"/>
                <w:color w:val="000000"/>
                <w:kern w:val="0"/>
                <w:sz w:val="21"/>
                <w:szCs w:val="21"/>
                <w:lang w:val="en-US" w:eastAsia="zh-CN"/>
              </w:rPr>
              <w:t>YQ 029-01</w:t>
            </w:r>
            <w:r>
              <w:rPr>
                <w:rFonts w:hint="default" w:ascii="Times New Roman" w:hAnsi="Times New Roman" w:eastAsia="宋体" w:cs="Times New Roman"/>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 xml:space="preserve">YQ </w:t>
            </w:r>
            <w:r>
              <w:rPr>
                <w:rFonts w:hint="eastAsia" w:ascii="Times New Roman" w:hAnsi="Times New Roman" w:eastAsia="宋体" w:cs="Times New Roman"/>
                <w:color w:val="000000"/>
                <w:kern w:val="0"/>
                <w:sz w:val="21"/>
                <w:szCs w:val="21"/>
                <w:lang w:val="en-US" w:eastAsia="zh-CN"/>
              </w:rPr>
              <w:t>045-02）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GC9790Ⅱ福立</w:t>
            </w:r>
            <w:r>
              <w:rPr>
                <w:rFonts w:hint="default" w:ascii="Times New Roman" w:hAnsi="Times New Roman" w:eastAsia="宋体" w:cs="Times New Roman"/>
                <w:color w:val="000000"/>
                <w:kern w:val="0"/>
                <w:sz w:val="21"/>
                <w:szCs w:val="21"/>
                <w:lang w:val="en-US"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 xml:space="preserve">（YQ </w:t>
            </w:r>
            <w:r>
              <w:rPr>
                <w:rFonts w:hint="eastAsia" w:ascii="Times New Roman" w:hAnsi="Times New Roman" w:eastAsia="宋体" w:cs="Times New Roman"/>
                <w:color w:val="000000"/>
                <w:kern w:val="0"/>
                <w:sz w:val="21"/>
                <w:szCs w:val="21"/>
                <w:lang w:val="en-US" w:eastAsia="zh-CN"/>
              </w:rPr>
              <w:t>002-01</w:t>
            </w:r>
            <w:r>
              <w:rPr>
                <w:rFonts w:hint="default" w:ascii="Times New Roman" w:hAnsi="Times New Roman" w:eastAsia="宋体"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HJ 836-2017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YQ3000-C全自动烟尘（气）测试仪（YQ 029-01）</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101-2AB电热鼓风干燥箱</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-01</w:t>
            </w:r>
            <w:r>
              <w:rPr>
                <w:rFonts w:hint="default" w:ascii="Times New Roman" w:hAnsi="Times New Roman"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AUW220D电子天平</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default" w:ascii="Times New Roman" w:hAnsi="Times New Roman" w:eastAsia="宋体" w:cs="Times New Roman"/>
                <w:sz w:val="21"/>
                <w:szCs w:val="21"/>
                <w:lang w:val="en-US" w:eastAsia="zh-CN"/>
              </w:rPr>
              <w:t>09</w:t>
            </w: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3）</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H06恒温恒湿室</w:t>
            </w:r>
          </w:p>
          <w:p>
            <w:pPr>
              <w:pStyle w:val="9"/>
              <w:snapToGrid w:val="0"/>
              <w:spacing w:line="240" w:lineRule="exact"/>
              <w:ind w:firstLine="0" w:firstLineChars="0"/>
              <w:jc w:val="center"/>
              <w:rPr>
                <w:rFonts w:hint="default" w:eastAsia="宋体" w:asciiTheme="minorHAnsi" w:hAnsiTheme="minorHAnsi" w:cstheme="minorBidi"/>
                <w:color w:val="auto"/>
                <w:kern w:val="0"/>
                <w:sz w:val="21"/>
                <w:szCs w:val="21"/>
                <w:lang w:val="en-US" w:eastAsia="zh-CN" w:bidi="ar-SA"/>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eastAsia"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GC9790Ⅱ福立气相色谱仪</w:t>
            </w:r>
          </w:p>
          <w:p>
            <w:pPr>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（YQ 002-01）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《环境空气 总悬浮颗粒物的测定 重量法》</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含修改单</w:t>
            </w:r>
            <w:r>
              <w:rPr>
                <w:rFonts w:hint="default" w:ascii="Times New Roman" w:hAnsi="Times New Roman" w:eastAsia="宋体" w:cs="Times New Roman"/>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highlight w:val="none"/>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0.001mg/m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ZR-3920环境空气颗粒物综合采样器</w:t>
            </w:r>
            <w:r>
              <w:rPr>
                <w:rFonts w:hint="default" w:ascii="Times New Roman" w:hAnsi="Times New Roman" w:eastAsia="宋体" w:cs="Times New Roman"/>
                <w:color w:val="000000"/>
                <w:kern w:val="0"/>
                <w:sz w:val="21"/>
                <w:szCs w:val="21"/>
                <w:lang w:val="en-US" w:eastAsia="zh-CN"/>
              </w:rPr>
              <w:t>（YQ 055-05、06、07、08）</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HWS-70B恒温恒湿箱</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016-01）</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FA-2004B型电子天平</w:t>
            </w:r>
          </w:p>
          <w:p>
            <w:pPr>
              <w:snapToGrid w:val="0"/>
              <w:spacing w:line="2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val="en-US" w:eastAsia="zh-CN"/>
              </w:rPr>
              <w:t>（YQ 009-02）</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035-02）</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036-03）</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038-02）</w:t>
            </w:r>
          </w:p>
        </w:tc>
      </w:tr>
    </w:tbl>
    <w:p>
      <w:pPr>
        <w:pStyle w:val="7"/>
        <w:rPr>
          <w:rFonts w:hint="default" w:ascii="Times New Roman" w:hAnsi="Times New Roman" w:cs="Times New Roman"/>
        </w:rPr>
      </w:pP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r>
        <w:rPr>
          <w:b/>
          <w:sz w:val="28"/>
          <w:szCs w:val="28"/>
        </w:rPr>
        <w:pict>
          <v:shape id="_x0000_s1208" o:spid="_x0000_s1208" o:spt="75" type="#_x0000_t75" style="position:absolute;left:0pt;margin-left:217.3pt;margin-top:15.45pt;height:271.3pt;width:286.1pt;z-index:-251650048;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208" DrawAspect="Content" ObjectID="_1468075725" r:id="rId9">
            <o:LockedField>false</o:LockedField>
          </o:OLEObject>
        </w:pict>
      </w:r>
    </w:p>
    <w:p>
      <w:pPr>
        <w:ind w:firstLine="560" w:firstLineChars="200"/>
        <w:jc w:val="left"/>
        <w:rPr>
          <w:rFonts w:hint="default" w:ascii="Times New Roman" w:hAnsi="Times New Roman" w:cs="Times New Roman"/>
          <w:bCs/>
          <w:sz w:val="18"/>
          <w:szCs w:val="18"/>
        </w:rPr>
      </w:pPr>
      <w:r>
        <w:rPr>
          <w:b/>
          <w:sz w:val="28"/>
          <w:szCs w:val="28"/>
        </w:rPr>
        <w:pict>
          <v:shape id="对象 27" o:spid="_x0000_s1209" o:spt="75" type="#_x0000_t75" style="position:absolute;left:0pt;margin-left:-40.2pt;margin-top:2pt;height:271.3pt;width:286.1pt;z-index:-251652096;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对象 27"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9"/>
        <w:rPr>
          <w:rFonts w:hint="eastAsia" w:ascii="Times New Roman" w:hAnsi="Times New Roman" w:cs="Times New Roman"/>
          <w:bCs/>
          <w:sz w:val="18"/>
          <w:szCs w:val="18"/>
          <w:lang w:eastAsia="zh-CN"/>
        </w:rPr>
      </w:pPr>
    </w:p>
    <w:p>
      <w:pPr>
        <w:pStyle w:val="10"/>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9"/>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9"/>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9"/>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10"/>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9"/>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7"/>
        <w:rPr>
          <w:rFonts w:hint="default" w:ascii="Times New Roman" w:hAnsi="Times New Roman" w:cs="Times New Roman"/>
        </w:rPr>
      </w:pPr>
      <w:bookmarkStart w:id="86" w:name="_Toc503969735"/>
      <w:bookmarkStart w:id="87" w:name="_Toc503681484"/>
      <w:bookmarkStart w:id="88" w:name="_Toc504325372"/>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7"/>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混料、加热挤出工序废气排气筒进口2022.05.27</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6468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6384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6412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max(D3:F3)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6468</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6.15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6.56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max(D4:F4)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6.56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bookmarkStart w:id="89" w:name="OLE_LINK1" w:colFirst="3" w:colLast="5"/>
            <w:r>
              <w:rPr>
                <w:rFonts w:hint="default" w:ascii="Times New Roman" w:hAnsi="Times New Roman" w:eastAsia="宋体" w:cs="Times New Roman"/>
                <w:color w:val="auto"/>
                <w:sz w:val="21"/>
                <w:szCs w:val="21"/>
                <w:lang w:val="en-US" w:eastAsia="zh-CN"/>
              </w:rPr>
              <w:t>混料、加热挤出工序废气排气筒出口2022.05.27</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6889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6821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6794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max(D5:F5)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6889</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max(D6:F6)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18</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4.34×10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4.50×10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4.14×10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4.50×10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0.51</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3.35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max(D8:F8)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3.35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混料、加热挤出工序废气排气筒进口2022.05.28</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6304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6347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6388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max(D10:F10)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6388</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8.25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7.83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max(D11:F11)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8.25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混料、加热挤出工序废气排气筒出口2022.05.28</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6765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6791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6859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max(D12:F12)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6859</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max(D13:F13)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18</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4.46×10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4.28×10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4.39×10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4.46×10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0.51</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4.02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4.24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max(D15:F15)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4.24</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4800小时</w:t>
            </w:r>
            <w:r>
              <w:rPr>
                <w:rFonts w:hint="default" w:ascii="Times New Roman" w:hAnsi="Times New Roman" w:eastAsia="宋体" w:cs="Times New Roman"/>
                <w:b w:val="0"/>
                <w:bCs/>
                <w:spacing w:val="0"/>
                <w:sz w:val="21"/>
                <w:szCs w:val="21"/>
                <w:highlight w:val="none"/>
                <w:lang w:val="en-US" w:eastAsia="zh-CN"/>
              </w:rPr>
              <w:t>（由企业提供）</w:t>
            </w:r>
          </w:p>
        </w:tc>
      </w:tr>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7"/>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restart"/>
            <w:vAlign w:val="center"/>
          </w:tcPr>
          <w:p>
            <w:pPr>
              <w:pStyle w:val="109"/>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504325373"/>
            <w:bookmarkStart w:id="91" w:name="_Toc497001489"/>
            <w:r>
              <w:rPr>
                <w:rFonts w:hint="default" w:ascii="Times New Roman" w:hAnsi="Times New Roman" w:eastAsia="宋体" w:cs="Times New Roman"/>
                <w:b w:val="0"/>
                <w:bCs w:val="0"/>
                <w:sz w:val="21"/>
                <w:szCs w:val="21"/>
              </w:rPr>
              <w:t>检测项目</w:t>
            </w:r>
          </w:p>
          <w:p>
            <w:pPr>
              <w:pStyle w:val="109"/>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9"/>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9"/>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pStyle w:val="109"/>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及标准值</w:t>
            </w:r>
          </w:p>
        </w:tc>
        <w:tc>
          <w:tcPr>
            <w:tcW w:w="874" w:type="dxa"/>
            <w:vMerge w:val="restart"/>
            <w:vAlign w:val="center"/>
          </w:tcPr>
          <w:p>
            <w:pPr>
              <w:pStyle w:val="109"/>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9"/>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continue"/>
            <w:vAlign w:val="center"/>
          </w:tcPr>
          <w:p>
            <w:pPr>
              <w:pStyle w:val="109"/>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9"/>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9"/>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9"/>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9"/>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lang w:val="en-US" w:eastAsia="zh-CN"/>
              </w:rPr>
              <w:t>2022.05.27</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外上</w:t>
            </w:r>
            <w:r>
              <w:rPr>
                <w:rFonts w:hint="default" w:ascii="Times New Roman" w:hAnsi="Times New Roman" w:eastAsia="宋体" w:cs="Times New Roman"/>
                <w:color w:val="auto"/>
                <w:sz w:val="21"/>
                <w:szCs w:val="21"/>
              </w:rPr>
              <w:t>风向</w:t>
            </w:r>
            <w:r>
              <w:rPr>
                <w:rFonts w:hint="default" w:ascii="Times New Roman" w:hAnsi="Times New Roman" w:eastAsia="宋体" w:cs="Times New Roman"/>
                <w:color w:val="auto"/>
                <w:sz w:val="21"/>
                <w:szCs w:val="21"/>
                <w:lang w:val="en-US" w:eastAsia="zh-CN"/>
              </w:rPr>
              <w:t>参照</w:t>
            </w:r>
            <w:r>
              <w:rPr>
                <w:rFonts w:hint="default" w:ascii="Times New Roman" w:hAnsi="Times New Roman" w:eastAsia="宋体" w:cs="Times New Roman"/>
                <w:color w:val="auto"/>
                <w:sz w:val="21"/>
                <w:szCs w:val="21"/>
              </w:rPr>
              <w:t>点</w:t>
            </w:r>
            <w:r>
              <w:rPr>
                <w:rFonts w:hint="eastAsia" w:ascii="宋体" w:hAnsi="宋体" w:eastAsia="宋体" w:cs="宋体"/>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0.167</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0.150</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0.150</w:t>
            </w:r>
          </w:p>
        </w:tc>
        <w:tc>
          <w:tcPr>
            <w:tcW w:w="1880" w:type="dxa"/>
            <w:vMerge w:val="restart"/>
            <w:vAlign w:val="center"/>
          </w:tcPr>
          <w:p>
            <w:pPr>
              <w:pStyle w:val="109"/>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 16297-1996</w:t>
            </w:r>
          </w:p>
          <w:p>
            <w:pPr>
              <w:pStyle w:val="109"/>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0.450</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0.483</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0.433</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0.483</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0.433</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lang w:val="en-US" w:eastAsia="zh-CN"/>
              </w:rPr>
              <w:t>2022.05.28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外上</w:t>
            </w:r>
            <w:r>
              <w:rPr>
                <w:rFonts w:hint="default" w:ascii="Times New Roman" w:hAnsi="Times New Roman" w:eastAsia="宋体" w:cs="Times New Roman"/>
                <w:color w:val="auto"/>
                <w:sz w:val="21"/>
                <w:szCs w:val="21"/>
              </w:rPr>
              <w:t>风向</w:t>
            </w:r>
            <w:r>
              <w:rPr>
                <w:rFonts w:hint="default" w:ascii="Times New Roman" w:hAnsi="Times New Roman" w:eastAsia="宋体" w:cs="Times New Roman"/>
                <w:color w:val="auto"/>
                <w:sz w:val="21"/>
                <w:szCs w:val="21"/>
                <w:lang w:val="en-US" w:eastAsia="zh-CN"/>
              </w:rPr>
              <w:t>参照</w:t>
            </w:r>
            <w:r>
              <w:rPr>
                <w:rFonts w:hint="default" w:ascii="Times New Roman" w:hAnsi="Times New Roman" w:eastAsia="宋体" w:cs="Times New Roman"/>
                <w:color w:val="auto"/>
                <w:sz w:val="21"/>
                <w:szCs w:val="21"/>
              </w:rPr>
              <w:t>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0.167</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0.150</w:t>
            </w:r>
          </w:p>
        </w:tc>
        <w:tc>
          <w:tcPr>
            <w:tcW w:w="1880" w:type="dxa"/>
            <w:vMerge w:val="restart"/>
            <w:vAlign w:val="center"/>
          </w:tcPr>
          <w:p>
            <w:pPr>
              <w:pStyle w:val="109"/>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 16297-1996</w:t>
            </w:r>
          </w:p>
          <w:p>
            <w:pPr>
              <w:pStyle w:val="109"/>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0.433</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0.483</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0.450</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0.433</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kern w:val="0"/>
                <w:sz w:val="21"/>
                <w:szCs w:val="21"/>
                <w:lang w:val="en-US" w:eastAsia="zh-CN" w:bidi="ar-SA"/>
              </w:rPr>
              <w:t>2022.05.27</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0.79</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0.87</w:t>
            </w:r>
          </w:p>
        </w:tc>
        <w:tc>
          <w:tcPr>
            <w:tcW w:w="1880" w:type="dxa"/>
            <w:vMerge w:val="restart"/>
            <w:vAlign w:val="center"/>
          </w:tcPr>
          <w:p>
            <w:pPr>
              <w:pStyle w:val="109"/>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9"/>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0.87</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0.76</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0.96</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0.83</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adjustRightInd w:val="0"/>
              <w:snapToGrid w:val="0"/>
              <w:spacing w:line="2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rPr>
              <w:t>车间门口外1m处</w:t>
            </w:r>
            <w:r>
              <w:rPr>
                <w:rFonts w:hint="eastAsia" w:ascii="宋体" w:hAnsi="宋体" w:eastAsia="宋体" w:cs="宋体"/>
                <w:sz w:val="21"/>
                <w:szCs w:val="21"/>
              </w:rPr>
              <w:t>●</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1.54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1.69</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1.47</w:t>
            </w:r>
          </w:p>
        </w:tc>
        <w:tc>
          <w:tcPr>
            <w:tcW w:w="188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9"/>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kern w:val="0"/>
                <w:sz w:val="21"/>
                <w:szCs w:val="21"/>
                <w:lang w:val="en-US" w:eastAsia="zh-CN" w:bidi="ar-SA"/>
              </w:rPr>
              <w:t>2022.05.28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0.96</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0.85</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0.93</w:t>
            </w:r>
          </w:p>
        </w:tc>
        <w:tc>
          <w:tcPr>
            <w:tcW w:w="1880" w:type="dxa"/>
            <w:vMerge w:val="restart"/>
            <w:vAlign w:val="center"/>
          </w:tcPr>
          <w:p>
            <w:pPr>
              <w:pStyle w:val="109"/>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9"/>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0.87</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0.94</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1.02</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下风向监控点</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0.93</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0.86</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0.94</w:t>
            </w:r>
          </w:p>
        </w:tc>
        <w:tc>
          <w:tcPr>
            <w:tcW w:w="1880"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551" w:type="dxa"/>
            <w:vMerge w:val="continue"/>
            <w:vAlign w:val="center"/>
          </w:tcPr>
          <w:p>
            <w:pPr>
              <w:pStyle w:val="109"/>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rPr>
              <w:t>车间门口外1m处</w:t>
            </w:r>
            <w:r>
              <w:rPr>
                <w:rFonts w:hint="eastAsia" w:ascii="宋体" w:hAnsi="宋体" w:eastAsia="宋体" w:cs="宋体"/>
                <w:sz w:val="21"/>
                <w:szCs w:val="21"/>
              </w:rPr>
              <w:t>●</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1.84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1.65</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1.70</w:t>
            </w:r>
          </w:p>
        </w:tc>
        <w:tc>
          <w:tcPr>
            <w:tcW w:w="188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9"/>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8"/>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2022.05.27</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2022.05.28</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127" w:type="dxa"/>
            <w:vAlign w:val="center"/>
          </w:tcPr>
          <w:p>
            <w:pPr>
              <w:spacing w:line="240" w:lineRule="exact"/>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8" w:type="dxa"/>
            <w:vAlign w:val="center"/>
          </w:tcPr>
          <w:p>
            <w:pPr>
              <w:spacing w:line="240" w:lineRule="exact"/>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58.3</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48.2</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57.8</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47.4</w:t>
            </w:r>
          </w:p>
        </w:tc>
        <w:tc>
          <w:tcPr>
            <w:tcW w:w="1654" w:type="dxa"/>
            <w:vMerge w:val="restart"/>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p>
            <w:pPr>
              <w:jc w:val="center"/>
              <w:rPr>
                <w:rFonts w:hint="default" w:ascii="Times New Roman" w:hAnsi="Times New Roman" w:eastAsia="宋体" w:cs="Times New Roman"/>
                <w:sz w:val="21"/>
                <w:szCs w:val="21"/>
              </w:rPr>
            </w:pPr>
            <w:r>
              <w:rPr>
                <w:rFonts w:hint="eastAsia" w:ascii="Times New Roman" w:hAnsi="Times New Roman" w:eastAsia="宋体" w:cs="Times New Roman"/>
                <w:lang w:val="en-US" w:eastAsia="zh-CN"/>
              </w:rPr>
              <w:t>夜间</w:t>
            </w:r>
            <w:r>
              <w:rPr>
                <w:rFonts w:hint="default" w:ascii="Times New Roman" w:hAnsi="Times New Roman" w:eastAsia="宋体" w:cs="Times New Roman"/>
              </w:rPr>
              <w:t>：</w:t>
            </w:r>
            <w:r>
              <w:rPr>
                <w:rFonts w:hint="eastAsia" w:ascii="Times New Roman" w:hAnsi="Times New Roman" w:eastAsia="宋体" w:cs="Times New Roman"/>
                <w:lang w:val="en-US" w:eastAsia="zh-CN"/>
              </w:rPr>
              <w:t>70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西厂界外1m处（▲2#）</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56.8</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46.6</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55.7</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46.0</w:t>
            </w:r>
          </w:p>
        </w:tc>
        <w:tc>
          <w:tcPr>
            <w:tcW w:w="1654" w:type="dxa"/>
            <w:vMerge w:val="continue"/>
            <w:tcBorders/>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55.4</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44.5</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52.1</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42.2</w:t>
            </w:r>
          </w:p>
        </w:tc>
        <w:tc>
          <w:tcPr>
            <w:tcW w:w="1654" w:type="dxa"/>
            <w:vMerge w:val="continue"/>
            <w:tcBorders/>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东厂界外1m处（▲4#）</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57.4</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47.1</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56.9</w:t>
            </w:r>
          </w:p>
        </w:tc>
        <w:tc>
          <w:tcPr>
            <w:tcW w:w="1128"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46.4</w:t>
            </w:r>
          </w:p>
        </w:tc>
        <w:tc>
          <w:tcPr>
            <w:tcW w:w="1654" w:type="dxa"/>
            <w:vMerge w:val="continue"/>
            <w:tcBorders/>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混料、加热挤出工序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布袋除尘器+二级活性炭吸附装置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4.24</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表1其他行业中大气污染物排放限值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6.6</w:t>
      </w:r>
      <w:r>
        <w:rPr>
          <w:rFonts w:hint="default" w:ascii="Times New Roman" w:hAnsi="Times New Roman" w:eastAsia="宋体" w:cs="Times New Roman"/>
          <w:color w:val="000000" w:themeColor="text1"/>
          <w:sz w:val="24"/>
          <w14:textFill>
            <w14:solidFill>
              <w14:schemeClr w14:val="tx1"/>
            </w14:solidFill>
          </w14:textFill>
        </w:rPr>
        <w:t>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4.50×10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 16297-1996）表2颗粒物（碳黑尘、染料尘）二级排放标准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0.51k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sz w:val="24"/>
          <w:szCs w:val="24"/>
          <w:lang w:val="en-US" w:eastAsia="zh-CN"/>
        </w:rPr>
        <w:t>。</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0.500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 16297-1996）表2无组织排放监控浓度限值（</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1.84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0"/>
          <w:w w:val="100"/>
          <w:kern w:val="2"/>
          <w:sz w:val="24"/>
          <w:szCs w:val="24"/>
          <w:highlight w:val="none"/>
          <w:lang w:val="en-US" w:eastAsia="zh-CN" w:bidi="ar-SA"/>
        </w:rPr>
        <w:t>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lang w:val="en-US" w:eastAsia="zh-CN"/>
        </w:rPr>
        <w:t>。</w:t>
      </w:r>
    </w:p>
    <w:p>
      <w:pPr>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br w:type="page"/>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r>
        <w:rPr>
          <w:rFonts w:hint="default" w:ascii="Times New Roman" w:hAnsi="Times New Roman" w:eastAsia="宋体" w:cs="Times New Roman"/>
          <w:kern w:val="0"/>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项目污染物建议总量控制指标为化学需氧量：0t/a，氨氮：0t/a，二氧化硫：0t/a，氮氧化物：0t/a，非甲烷总烃：1.920t/a，颗粒物：0.432t/a。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实际排放污染物总量为：化学需氧量：0t/a，氨氮：0t/a，二氧化硫：0t/a，氮氧化物：0t/a，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0.106</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非甲烷总烃：0.060t/a</w:t>
      </w:r>
      <w:r>
        <w:rPr>
          <w:rFonts w:hint="eastAsia" w:ascii="Times New Roman" w:hAnsi="Times New Roman" w:eastAsia="宋体" w:cs="Times New Roman"/>
          <w:sz w:val="24"/>
          <w:szCs w:val="24"/>
          <w:lang w:val="en-US" w:eastAsia="zh-CN"/>
        </w:rPr>
        <w:t>。满足环评中总量控制要求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河间市亿彩塑料制品厂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294178076"/>
      <w:bookmarkStart w:id="101" w:name="_Toc504325381"/>
      <w:bookmarkStart w:id="102" w:name="_Toc412705194"/>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504325382"/>
      <w:bookmarkStart w:id="104" w:name="_Toc412705195"/>
      <w:bookmarkStart w:id="105" w:name="_Toc294178077"/>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河间市亿彩塑料制品厂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4220604"/>
      <w:bookmarkStart w:id="108" w:name="_Toc41270519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3"/>
      <w:bookmarkStart w:id="110" w:name="_Toc412705196"/>
      <w:bookmarkStart w:id="111" w:name="_Toc414220602"/>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kinsoku/>
        <w:wordWrap/>
        <w:overflowPunct/>
        <w:topLinePunct w:val="0"/>
        <w:autoSpaceDE/>
        <w:autoSpaceDN/>
        <w:bidi w:val="0"/>
        <w:adjustRightInd w:val="0"/>
        <w:snapToGrid w:val="0"/>
        <w:spacing w:line="440" w:lineRule="exact"/>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6"/>
        <w:keepNext w:val="0"/>
        <w:keepLines w:val="0"/>
        <w:pageBreakBefore w:val="0"/>
        <w:kinsoku/>
        <w:wordWrap/>
        <w:overflowPunct/>
        <w:topLinePunct w:val="0"/>
        <w:autoSpaceDE/>
        <w:autoSpaceDN/>
        <w:bidi w:val="0"/>
        <w:adjustRightInd w:val="0"/>
        <w:snapToGrid w:val="0"/>
        <w:spacing w:line="440" w:lineRule="exact"/>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9"/>
        <w:keepNext w:val="0"/>
        <w:keepLines w:val="0"/>
        <w:pageBreakBefore w:val="0"/>
        <w:widowControl/>
        <w:kinsoku/>
        <w:wordWrap/>
        <w:overflowPunct/>
        <w:topLinePunct w:val="0"/>
        <w:autoSpaceDE/>
        <w:autoSpaceDN/>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9"/>
        <w:keepNext w:val="0"/>
        <w:keepLines w:val="0"/>
        <w:pageBreakBefore w:val="0"/>
        <w:widowControl/>
        <w:kinsoku/>
        <w:wordWrap/>
        <w:overflowPunct/>
        <w:topLinePunct w:val="0"/>
        <w:autoSpaceDE/>
        <w:autoSpaceDN/>
        <w:bidi w:val="0"/>
        <w:adjustRightInd w:val="0"/>
        <w:snapToGrid w:val="0"/>
        <w:spacing w:line="440" w:lineRule="exact"/>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混料、加热挤出工序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布袋除尘器+二级活性炭吸附装置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4.24</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表1其他行业中大气污染物排放限值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6.6</w:t>
      </w:r>
      <w:r>
        <w:rPr>
          <w:rFonts w:hint="default" w:ascii="Times New Roman" w:hAnsi="Times New Roman" w:eastAsia="宋体" w:cs="Times New Roman"/>
          <w:color w:val="000000" w:themeColor="text1"/>
          <w:sz w:val="24"/>
          <w14:textFill>
            <w14:solidFill>
              <w14:schemeClr w14:val="tx1"/>
            </w14:solidFill>
          </w14:textFill>
        </w:rPr>
        <w:t>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4.50×10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 16297-1996）表2颗粒物（碳黑尘、染料尘）二级排放标准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0.51k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0.500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 16297-1996）表2无组织排放监控浓度限值（</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t>。</w:t>
      </w:r>
    </w:p>
    <w:p>
      <w:pPr>
        <w:pStyle w:val="109"/>
        <w:keepNext w:val="0"/>
        <w:keepLines w:val="0"/>
        <w:pageBreakBefore w:val="0"/>
        <w:widowControl/>
        <w:kinsoku/>
        <w:wordWrap/>
        <w:overflowPunct/>
        <w:topLinePunct w:val="0"/>
        <w:autoSpaceDE/>
        <w:autoSpaceDN/>
        <w:bidi w:val="0"/>
        <w:adjustRightInd w:val="0"/>
        <w:snapToGrid w:val="0"/>
        <w:spacing w:line="440" w:lineRule="exact"/>
        <w:ind w:left="0" w:leftChars="0" w:right="0" w:rightChars="0" w:firstLine="480" w:firstLineChars="200"/>
        <w:jc w:val="both"/>
        <w:rPr>
          <w:rFonts w:hint="eastAsia" w:ascii="Times New Roman" w:hAnsi="Times New Roman" w:cs="Times New Roman"/>
          <w:color w:val="auto"/>
          <w:spacing w:val="-2"/>
          <w:sz w:val="24"/>
          <w:lang w:val="en-US" w:eastAsia="zh-CN"/>
        </w:rPr>
      </w:pPr>
      <w:r>
        <w:rPr>
          <w:rFonts w:hint="eastAsia"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1.84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0"/>
          <w:w w:val="100"/>
          <w:kern w:val="2"/>
          <w:sz w:val="24"/>
          <w:szCs w:val="24"/>
          <w:highlight w:val="none"/>
          <w:lang w:val="en-US" w:eastAsia="zh-CN" w:bidi="ar-SA"/>
        </w:rPr>
        <w:t>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2"/>
          <w:sz w:val="24"/>
          <w:lang w:val="en-US" w:eastAsia="zh-CN"/>
        </w:rPr>
        <w:t>。</w:t>
      </w:r>
    </w:p>
    <w:p>
      <w:pPr>
        <w:pStyle w:val="109"/>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r>
        <w:rPr>
          <w:rFonts w:hint="default" w:ascii="Times New Roman" w:hAnsi="Times New Roman" w:eastAsia="宋体" w:cs="Times New Roman"/>
          <w:kern w:val="0"/>
          <w:sz w:val="24"/>
          <w:szCs w:val="24"/>
        </w:rPr>
        <w:t>。</w:t>
      </w:r>
    </w:p>
    <w:p>
      <w:pPr>
        <w:pStyle w:val="109"/>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9"/>
        <w:keepNext w:val="0"/>
        <w:keepLines w:val="0"/>
        <w:pageBreakBefore w:val="0"/>
        <w:kinsoku/>
        <w:wordWrap/>
        <w:overflowPunct/>
        <w:topLinePunct w:val="0"/>
        <w:autoSpaceDE/>
        <w:autoSpaceDN/>
        <w:bidi w:val="0"/>
        <w:adjustRightInd w:val="0"/>
        <w:snapToGrid w:val="0"/>
        <w:spacing w:line="440" w:lineRule="exact"/>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项目冷却水循环使用，定期补充，不外排；厂内设防渗旱厕，产生的生活污水排入旱厕，定期清掏，不外排</w:t>
      </w:r>
      <w:r>
        <w:rPr>
          <w:rFonts w:hint="default" w:ascii="Times New Roman" w:hAnsi="Times New Roman" w:eastAsia="宋体" w:cs="Times New Roman"/>
          <w:sz w:val="24"/>
          <w:szCs w:val="24"/>
        </w:rPr>
        <w:t>。</w:t>
      </w:r>
    </w:p>
    <w:p>
      <w:pPr>
        <w:pStyle w:val="109"/>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90"/>
        <w:keepNext w:val="0"/>
        <w:keepLines w:val="0"/>
        <w:pageBreakBefore w:val="0"/>
        <w:kinsoku/>
        <w:wordWrap/>
        <w:overflowPunct/>
        <w:topLinePunct w:val="0"/>
        <w:bidi w:val="0"/>
        <w:adjustRightInd w:val="0"/>
        <w:snapToGrid w:val="0"/>
        <w:spacing w:line="440" w:lineRule="exact"/>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项目产生的固体废物主要包括不合格品、废包装袋、边角料、除尘灰、废活性炭以及职工生活垃圾。</w:t>
      </w:r>
    </w:p>
    <w:p>
      <w:pPr>
        <w:pStyle w:val="90"/>
        <w:keepNext w:val="0"/>
        <w:keepLines w:val="0"/>
        <w:pageBreakBefore w:val="0"/>
        <w:kinsoku/>
        <w:wordWrap/>
        <w:overflowPunct/>
        <w:topLinePunct w:val="0"/>
        <w:bidi w:val="0"/>
        <w:adjustRightInd w:val="0"/>
        <w:snapToGrid w:val="0"/>
        <w:spacing w:line="440" w:lineRule="exact"/>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项目产品检验过程中产生的不合格品统一收集后外售；项目切片过程产生的边角料统一收集后外售；原料使用过程产生的废包装袋统一收集后外售；布袋除尘器收集的除尘灰统一收集后回用于生产；项目活性炭吸附装置产生的废活性炭集中收集后暂存危废间，定期交由有资质单位处置；职工生活垃圾收集后由环卫部门清运处理</w:t>
      </w:r>
      <w:r>
        <w:rPr>
          <w:rFonts w:hint="default" w:ascii="Times New Roman" w:hAnsi="Times New Roman" w:cs="Times New Roman"/>
          <w:color w:val="auto"/>
        </w:rPr>
        <w:t>。</w:t>
      </w:r>
    </w:p>
    <w:p>
      <w:pPr>
        <w:pStyle w:val="109"/>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项目污染物建议总量控制指标为化学需氧量：0t/a，氨氮：0t/a，二氧化硫：0t/a，氮氧化物：0t/a，非甲烷总烃：1.920t/a，颗粒物：0.432t/a。</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实际排放污染物总量为：化学需氧量：0t/a，氨氮：0t/a，二氧化硫：0t/a，氮氧化物：0t/a，颗粒物：0.106t/a，非甲烷总烃：0.060t/a。满足环评中总量控制要求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6"/>
        <w:keepNext w:val="0"/>
        <w:keepLines w:val="0"/>
        <w:pageBreakBefore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9"/>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-1310640</wp:posOffset>
            </wp:positionH>
            <wp:positionV relativeFrom="paragraph">
              <wp:posOffset>1287145</wp:posOffset>
            </wp:positionV>
            <wp:extent cx="8639810" cy="6120130"/>
            <wp:effectExtent l="0" t="0" r="13970" b="8890"/>
            <wp:wrapNone/>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-1496060</wp:posOffset>
            </wp:positionH>
            <wp:positionV relativeFrom="paragraph">
              <wp:posOffset>1958975</wp:posOffset>
            </wp:positionV>
            <wp:extent cx="8639810" cy="5503545"/>
            <wp:effectExtent l="0" t="0" r="1905" b="889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rot="16200000">
                      <a:off x="0" y="0"/>
                      <a:ext cx="8639810" cy="5503545"/>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76835</wp:posOffset>
            </wp:positionH>
            <wp:positionV relativeFrom="paragraph">
              <wp:posOffset>199390</wp:posOffset>
            </wp:positionV>
            <wp:extent cx="5988685" cy="3371215"/>
            <wp:effectExtent l="0" t="0" r="12065" b="63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988685" cy="3371215"/>
                    </a:xfrm>
                    <a:prstGeom prst="rect">
                      <a:avLst/>
                    </a:prstGeom>
                    <a:noFill/>
                    <a:ln>
                      <a:noFill/>
                    </a:ln>
                  </pic:spPr>
                </pic:pic>
              </a:graphicData>
            </a:graphic>
          </wp:anchor>
        </w:drawing>
      </w: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9"/>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9"/>
        <w:jc w:val="center"/>
        <w:rPr>
          <w:rFonts w:hint="eastAsia" w:eastAsiaTheme="minorEastAsia"/>
          <w:lang w:eastAsia="zh-CN"/>
        </w:rPr>
      </w:pPr>
      <w:r>
        <w:rPr>
          <w:rFonts w:hint="eastAsia" w:ascii="黑体" w:eastAsia="黑体"/>
          <w:b w:val="0"/>
          <w:bCs/>
          <w:sz w:val="32"/>
          <w:szCs w:val="32"/>
          <w:lang w:eastAsia="zh-CN"/>
        </w:rPr>
        <w:drawing>
          <wp:anchor distT="0" distB="0" distL="114300" distR="114300" simplePos="0" relativeHeight="251667456" behindDoc="0" locked="0" layoutInCell="1" allowOverlap="1">
            <wp:simplePos x="0" y="0"/>
            <wp:positionH relativeFrom="column">
              <wp:posOffset>-165100</wp:posOffset>
            </wp:positionH>
            <wp:positionV relativeFrom="paragraph">
              <wp:posOffset>38735</wp:posOffset>
            </wp:positionV>
            <wp:extent cx="6120130" cy="8639810"/>
            <wp:effectExtent l="0" t="0" r="13970" b="8890"/>
            <wp:wrapNone/>
            <wp:docPr id="13" name="图片 13" descr="39b1821e42ed586a66d1f10c8fbc291"/>
            <wp:cNvGraphicFramePr/>
            <a:graphic xmlns:a="http://schemas.openxmlformats.org/drawingml/2006/main">
              <a:graphicData uri="http://schemas.openxmlformats.org/drawingml/2006/picture">
                <pic:pic xmlns:pic="http://schemas.openxmlformats.org/drawingml/2006/picture">
                  <pic:nvPicPr>
                    <pic:cNvPr id="13" name="图片 13" descr="39b1821e42ed586a66d1f10c8fbc291"/>
                    <pic:cNvPicPr/>
                  </pic:nvPicPr>
                  <pic:blipFill>
                    <a:blip r:embed="rId16"/>
                    <a:stretch>
                      <a:fillRect/>
                    </a:stretch>
                  </pic:blipFill>
                  <pic:spPr>
                    <a:xfrm>
                      <a:off x="0" y="0"/>
                      <a:ext cx="6120130" cy="8639810"/>
                    </a:xfrm>
                    <a:prstGeom prst="rect">
                      <a:avLst/>
                    </a:prstGeom>
                  </pic:spPr>
                </pic:pic>
              </a:graphicData>
            </a:graphic>
          </wp:anchor>
        </w:drawing>
      </w: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eastAsia" w:eastAsiaTheme="minorEastAsia"/>
          <w:lang w:eastAsia="zh-CN"/>
        </w:rPr>
      </w:pPr>
    </w:p>
    <w:p>
      <w:pPr>
        <w:pStyle w:val="9"/>
        <w:jc w:val="cente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9"/>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8"/>
        <w:jc w:val="center"/>
        <w:rPr>
          <w:rFonts w:hint="eastAsia" w:ascii="Times New Roman" w:hAnsi="Times New Roman" w:eastAsia="宋体" w:cs="Times New Roman"/>
          <w:b/>
          <w:sz w:val="30"/>
          <w:szCs w:val="30"/>
          <w:lang w:val="en-US" w:eastAsia="zh-CN"/>
        </w:rPr>
      </w:pP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2危废协议</w:t>
      </w:r>
    </w:p>
    <w:p>
      <w:pPr>
        <w:pStyle w:val="9"/>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p>
    <w:p>
      <w:pPr>
        <w:rPr>
          <w:rFonts w:hint="default"/>
          <w:lang w:eastAsia="zh-CN"/>
        </w:rPr>
      </w:pPr>
      <w:r>
        <w:rPr>
          <w:rFonts w:hint="default"/>
          <w:lang w:eastAsia="zh-CN"/>
        </w:rPr>
        <w:br w:type="page"/>
      </w:r>
    </w:p>
    <w:p>
      <w:pPr>
        <w:pStyle w:val="8"/>
        <w:rPr>
          <w:rFonts w:hint="default"/>
          <w:lang w:eastAsia="zh-CN"/>
        </w:rPr>
      </w:pPr>
    </w:p>
    <w:p>
      <w:pPr>
        <w:rPr>
          <w:rFonts w:hint="default"/>
          <w:lang w:eastAsia="zh-CN"/>
        </w:rPr>
      </w:pPr>
      <w:r>
        <w:rPr>
          <w:rFonts w:hint="default"/>
          <w:lang w:eastAsia="zh-CN"/>
        </w:rPr>
        <w:br w:type="page"/>
      </w:r>
    </w:p>
    <w:p>
      <w:pPr>
        <w:rPr>
          <w:rFonts w:hint="default"/>
          <w:lang w:eastAsia="zh-CN"/>
        </w:rPr>
      </w:pPr>
      <w:r>
        <w:rPr>
          <w:rFonts w:hint="default"/>
          <w:lang w:eastAsia="zh-CN"/>
        </w:rPr>
        <w:br w:type="page"/>
      </w:r>
    </w:p>
    <w:p>
      <w:pPr>
        <w:pStyle w:val="8"/>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河间市亿彩塑料制品厂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8"/>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PVC树脂片材新建项目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河间市兴村镇北石家村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C2922塑料板、管、型材制造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1508760</wp:posOffset>
                      </wp:positionH>
                      <wp:positionV relativeFrom="paragraph">
                        <wp:posOffset>63500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8pt;margin-top:5pt;height:5.6pt;width:5.25pt;z-index:251661312;v-text-anchor:middle;mso-width-relative:page;mso-height-relative:page;" fillcolor="#000000 [3213]" filled="t" stroked="t" coordsize="21600,21600" o:gfxdata="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s5VN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2270760</wp:posOffset>
                      </wp:positionH>
                      <wp:positionV relativeFrom="paragraph">
                        <wp:posOffset>59055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8pt;margin-top:4.65pt;height:5.6pt;width:5.25pt;z-index:251660288;v-text-anchor:middle;mso-width-relative:page;mso-height-relative:page;" fillcolor="#FFFFFF [3212]" filled="t" stroked="t" coordsize="21600,21600" o:gfxdata="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CvN2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64770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5.1pt;height:5.6pt;width:5.25pt;z-index:251659264;v-text-anchor:middle;mso-width-relative:page;mso-height-relative:page;" fillcolor="#FFFFFF [3212]" filled="t" stroked="t" coordsize="21600,21600" o:gfxdata="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UgrAd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年产PVC树脂片材1000吨</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年产PVC树脂片材1000吨</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河环表[2021]（12-11）号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4800小时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河间市亿彩塑料制品厂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92130984MA7BXWJ59L</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4"/>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4"/>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4"/>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1637</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1637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4"/>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6.6</w:t>
            </w:r>
          </w:p>
        </w:tc>
        <w:tc>
          <w:tcPr>
            <w:tcW w:w="1134" w:type="dxa"/>
            <w:gridSpan w:val="2"/>
            <w:vAlign w:val="center"/>
          </w:tcPr>
          <w:p>
            <w:pPr>
              <w:pStyle w:val="124"/>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18</w:t>
            </w: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0.106</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0.106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4.24</w:t>
            </w:r>
          </w:p>
        </w:tc>
        <w:tc>
          <w:tcPr>
            <w:tcW w:w="1134"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0.060</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0.060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4"/>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甲醛</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酚类</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3"/>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3"/>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ascii="Times New Roman" w:hAnsi="Times New Roman" w:eastAsia="宋体" w:cs="Times New Roman"/>
        <w:color w:val="000000"/>
        <w:szCs w:val="21"/>
        <w:lang w:eastAsia="zh-CN"/>
      </w:rPr>
      <w:t>河间市亿彩塑料制品厂PVC树脂片材新建项目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abstractNum w:abstractNumId="1">
    <w:nsid w:val="232B7E98"/>
    <w:multiLevelType w:val="singleLevel"/>
    <w:tmpl w:val="232B7E98"/>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6C50BB"/>
    <w:rsid w:val="01812F3D"/>
    <w:rsid w:val="018238FA"/>
    <w:rsid w:val="018B1EFE"/>
    <w:rsid w:val="018B242B"/>
    <w:rsid w:val="019D0C30"/>
    <w:rsid w:val="01A164D1"/>
    <w:rsid w:val="01CE6B64"/>
    <w:rsid w:val="01F51573"/>
    <w:rsid w:val="0201660D"/>
    <w:rsid w:val="020A6251"/>
    <w:rsid w:val="0213405F"/>
    <w:rsid w:val="02203AE0"/>
    <w:rsid w:val="02276739"/>
    <w:rsid w:val="022C2D3C"/>
    <w:rsid w:val="022C2F23"/>
    <w:rsid w:val="02475266"/>
    <w:rsid w:val="024875B8"/>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9F6584"/>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D0B43"/>
    <w:rsid w:val="09DF0D92"/>
    <w:rsid w:val="0A0119DF"/>
    <w:rsid w:val="0A057EED"/>
    <w:rsid w:val="0A097800"/>
    <w:rsid w:val="0A234C5B"/>
    <w:rsid w:val="0A254235"/>
    <w:rsid w:val="0A4F5910"/>
    <w:rsid w:val="0A564A2A"/>
    <w:rsid w:val="0A5D3C7E"/>
    <w:rsid w:val="0A932372"/>
    <w:rsid w:val="0A983632"/>
    <w:rsid w:val="0AA14D1A"/>
    <w:rsid w:val="0AA226C7"/>
    <w:rsid w:val="0AAC6066"/>
    <w:rsid w:val="0AB6429A"/>
    <w:rsid w:val="0ABC4635"/>
    <w:rsid w:val="0AE01397"/>
    <w:rsid w:val="0AE311B5"/>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6731C"/>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055F0"/>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E52C4"/>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6B033B"/>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73BE6"/>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1B6"/>
    <w:rsid w:val="14E27BDE"/>
    <w:rsid w:val="14E704D2"/>
    <w:rsid w:val="14F167BD"/>
    <w:rsid w:val="14F379AB"/>
    <w:rsid w:val="14F70CB7"/>
    <w:rsid w:val="14F93287"/>
    <w:rsid w:val="150D20AB"/>
    <w:rsid w:val="15103277"/>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6C3519"/>
    <w:rsid w:val="16732EB9"/>
    <w:rsid w:val="168551F8"/>
    <w:rsid w:val="168E0E4E"/>
    <w:rsid w:val="16997069"/>
    <w:rsid w:val="169A511E"/>
    <w:rsid w:val="169D6871"/>
    <w:rsid w:val="16B144F2"/>
    <w:rsid w:val="16B8351C"/>
    <w:rsid w:val="16BB5D7C"/>
    <w:rsid w:val="16BC1B6F"/>
    <w:rsid w:val="16BC26DC"/>
    <w:rsid w:val="16D77F3E"/>
    <w:rsid w:val="16E35C57"/>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13033"/>
    <w:rsid w:val="17A34250"/>
    <w:rsid w:val="17A36680"/>
    <w:rsid w:val="17A72CED"/>
    <w:rsid w:val="17A84CD6"/>
    <w:rsid w:val="17B206FA"/>
    <w:rsid w:val="17B75718"/>
    <w:rsid w:val="17C65669"/>
    <w:rsid w:val="17C6571E"/>
    <w:rsid w:val="17CA044E"/>
    <w:rsid w:val="17D04DBE"/>
    <w:rsid w:val="17D3328A"/>
    <w:rsid w:val="17DF3D16"/>
    <w:rsid w:val="17E72A55"/>
    <w:rsid w:val="17F235FE"/>
    <w:rsid w:val="17F2558D"/>
    <w:rsid w:val="18237788"/>
    <w:rsid w:val="182E3B7C"/>
    <w:rsid w:val="182E6B59"/>
    <w:rsid w:val="182F20F8"/>
    <w:rsid w:val="182F6E6D"/>
    <w:rsid w:val="18317412"/>
    <w:rsid w:val="183423CA"/>
    <w:rsid w:val="183605E1"/>
    <w:rsid w:val="18366506"/>
    <w:rsid w:val="183B6FC1"/>
    <w:rsid w:val="183F1843"/>
    <w:rsid w:val="18607A26"/>
    <w:rsid w:val="186D026D"/>
    <w:rsid w:val="187757F6"/>
    <w:rsid w:val="18791B03"/>
    <w:rsid w:val="187C46CA"/>
    <w:rsid w:val="187C4ED0"/>
    <w:rsid w:val="187C7831"/>
    <w:rsid w:val="187F7D2D"/>
    <w:rsid w:val="1884470A"/>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C0258D"/>
    <w:rsid w:val="19C45A62"/>
    <w:rsid w:val="19CC313D"/>
    <w:rsid w:val="19D14CF4"/>
    <w:rsid w:val="19D325EA"/>
    <w:rsid w:val="19F35D66"/>
    <w:rsid w:val="1A055686"/>
    <w:rsid w:val="1A10235E"/>
    <w:rsid w:val="1A103EEA"/>
    <w:rsid w:val="1A1A2F1E"/>
    <w:rsid w:val="1A246FC3"/>
    <w:rsid w:val="1A2B4C8A"/>
    <w:rsid w:val="1A2C796B"/>
    <w:rsid w:val="1A3E1491"/>
    <w:rsid w:val="1A3F3726"/>
    <w:rsid w:val="1A596FC2"/>
    <w:rsid w:val="1A5D305A"/>
    <w:rsid w:val="1A6C4259"/>
    <w:rsid w:val="1A707E30"/>
    <w:rsid w:val="1A736EE4"/>
    <w:rsid w:val="1A7A6D52"/>
    <w:rsid w:val="1A856769"/>
    <w:rsid w:val="1A88771C"/>
    <w:rsid w:val="1A8A17B4"/>
    <w:rsid w:val="1A8E060D"/>
    <w:rsid w:val="1AB05EAD"/>
    <w:rsid w:val="1AB14AB9"/>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D6ECD"/>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A6A1E"/>
    <w:rsid w:val="1C7A47AB"/>
    <w:rsid w:val="1C7F6D6A"/>
    <w:rsid w:val="1C8209CB"/>
    <w:rsid w:val="1C8F152F"/>
    <w:rsid w:val="1C9071C3"/>
    <w:rsid w:val="1C9979BE"/>
    <w:rsid w:val="1CA56346"/>
    <w:rsid w:val="1CA66945"/>
    <w:rsid w:val="1CA91999"/>
    <w:rsid w:val="1CAC1174"/>
    <w:rsid w:val="1CCD2EF5"/>
    <w:rsid w:val="1CD56B20"/>
    <w:rsid w:val="1CD74223"/>
    <w:rsid w:val="1CDF0906"/>
    <w:rsid w:val="1CE1358B"/>
    <w:rsid w:val="1CE20FD6"/>
    <w:rsid w:val="1CF914DB"/>
    <w:rsid w:val="1D0F1E11"/>
    <w:rsid w:val="1D123352"/>
    <w:rsid w:val="1D1B594A"/>
    <w:rsid w:val="1D287154"/>
    <w:rsid w:val="1D41527E"/>
    <w:rsid w:val="1D4F15EC"/>
    <w:rsid w:val="1D502097"/>
    <w:rsid w:val="1D6002DA"/>
    <w:rsid w:val="1D623A0A"/>
    <w:rsid w:val="1D663C75"/>
    <w:rsid w:val="1D6752D9"/>
    <w:rsid w:val="1D6943C9"/>
    <w:rsid w:val="1D991BE6"/>
    <w:rsid w:val="1D995637"/>
    <w:rsid w:val="1D9B2363"/>
    <w:rsid w:val="1DA926A8"/>
    <w:rsid w:val="1DB93F2C"/>
    <w:rsid w:val="1DC56584"/>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C3C98"/>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61539"/>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3533C1"/>
    <w:rsid w:val="23421352"/>
    <w:rsid w:val="23480AAE"/>
    <w:rsid w:val="234A4B4A"/>
    <w:rsid w:val="234C18B0"/>
    <w:rsid w:val="234E2D67"/>
    <w:rsid w:val="23512AAD"/>
    <w:rsid w:val="235B4AD9"/>
    <w:rsid w:val="23883B9A"/>
    <w:rsid w:val="239150EB"/>
    <w:rsid w:val="23936021"/>
    <w:rsid w:val="2399719B"/>
    <w:rsid w:val="23A9279B"/>
    <w:rsid w:val="23B0457A"/>
    <w:rsid w:val="23C23149"/>
    <w:rsid w:val="23ED7671"/>
    <w:rsid w:val="23F560DC"/>
    <w:rsid w:val="23FB048B"/>
    <w:rsid w:val="24222120"/>
    <w:rsid w:val="243520AC"/>
    <w:rsid w:val="244E566C"/>
    <w:rsid w:val="244F6681"/>
    <w:rsid w:val="245A4E57"/>
    <w:rsid w:val="24627BCF"/>
    <w:rsid w:val="24705D7F"/>
    <w:rsid w:val="24856D5A"/>
    <w:rsid w:val="248707D4"/>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823923"/>
    <w:rsid w:val="25972861"/>
    <w:rsid w:val="259F60A5"/>
    <w:rsid w:val="25B65378"/>
    <w:rsid w:val="25BF4B56"/>
    <w:rsid w:val="25C27F33"/>
    <w:rsid w:val="25C45357"/>
    <w:rsid w:val="25D15CFE"/>
    <w:rsid w:val="25DC6CCC"/>
    <w:rsid w:val="25E21B1F"/>
    <w:rsid w:val="25E66B82"/>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E62A03"/>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14B67"/>
    <w:rsid w:val="28424D1F"/>
    <w:rsid w:val="284F3C91"/>
    <w:rsid w:val="28513613"/>
    <w:rsid w:val="28531B31"/>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425B5"/>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05BCC"/>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3E5738"/>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E36D2"/>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2D326E"/>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318B0"/>
    <w:rsid w:val="30067FA8"/>
    <w:rsid w:val="301420BD"/>
    <w:rsid w:val="301730DB"/>
    <w:rsid w:val="302E3A05"/>
    <w:rsid w:val="302E46A1"/>
    <w:rsid w:val="30307E9D"/>
    <w:rsid w:val="303B1F01"/>
    <w:rsid w:val="303F701F"/>
    <w:rsid w:val="304412B8"/>
    <w:rsid w:val="304F37BC"/>
    <w:rsid w:val="304F48BE"/>
    <w:rsid w:val="3056045F"/>
    <w:rsid w:val="305C1CA5"/>
    <w:rsid w:val="305E0C78"/>
    <w:rsid w:val="305F6788"/>
    <w:rsid w:val="306D6AB9"/>
    <w:rsid w:val="307524D5"/>
    <w:rsid w:val="30852288"/>
    <w:rsid w:val="30931E0C"/>
    <w:rsid w:val="309F7FB5"/>
    <w:rsid w:val="30A74B26"/>
    <w:rsid w:val="30A81ABC"/>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04AEF"/>
    <w:rsid w:val="330218FC"/>
    <w:rsid w:val="330B35C0"/>
    <w:rsid w:val="330B7E62"/>
    <w:rsid w:val="33151905"/>
    <w:rsid w:val="331F3877"/>
    <w:rsid w:val="33232D9A"/>
    <w:rsid w:val="33456A5F"/>
    <w:rsid w:val="334A035D"/>
    <w:rsid w:val="33510980"/>
    <w:rsid w:val="33734C4D"/>
    <w:rsid w:val="33735668"/>
    <w:rsid w:val="337A2D2B"/>
    <w:rsid w:val="338041E8"/>
    <w:rsid w:val="33877323"/>
    <w:rsid w:val="338A2DC3"/>
    <w:rsid w:val="339177BA"/>
    <w:rsid w:val="339A777C"/>
    <w:rsid w:val="33A238F2"/>
    <w:rsid w:val="33B112AE"/>
    <w:rsid w:val="33B546BB"/>
    <w:rsid w:val="33B940D8"/>
    <w:rsid w:val="33D161EC"/>
    <w:rsid w:val="33DA103E"/>
    <w:rsid w:val="33E9077F"/>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57589"/>
    <w:rsid w:val="355F442A"/>
    <w:rsid w:val="356563DA"/>
    <w:rsid w:val="357041E9"/>
    <w:rsid w:val="3572330E"/>
    <w:rsid w:val="358A019B"/>
    <w:rsid w:val="358F6A3A"/>
    <w:rsid w:val="35986AB7"/>
    <w:rsid w:val="359E1309"/>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74300F"/>
    <w:rsid w:val="3781019A"/>
    <w:rsid w:val="378963EC"/>
    <w:rsid w:val="378E7A02"/>
    <w:rsid w:val="379930C3"/>
    <w:rsid w:val="379E7933"/>
    <w:rsid w:val="37B654CF"/>
    <w:rsid w:val="37BC0237"/>
    <w:rsid w:val="37BE1B5B"/>
    <w:rsid w:val="37D3725F"/>
    <w:rsid w:val="37E2326F"/>
    <w:rsid w:val="37E74B98"/>
    <w:rsid w:val="37EF18DE"/>
    <w:rsid w:val="37EF79C3"/>
    <w:rsid w:val="37F670C3"/>
    <w:rsid w:val="37FC009C"/>
    <w:rsid w:val="380821AD"/>
    <w:rsid w:val="380C4DE9"/>
    <w:rsid w:val="38266097"/>
    <w:rsid w:val="382B05E8"/>
    <w:rsid w:val="382F2E60"/>
    <w:rsid w:val="383D11AC"/>
    <w:rsid w:val="38433B7B"/>
    <w:rsid w:val="38470E28"/>
    <w:rsid w:val="385C5F43"/>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0525D8"/>
    <w:rsid w:val="3B1233BD"/>
    <w:rsid w:val="3B1B7548"/>
    <w:rsid w:val="3B346CF8"/>
    <w:rsid w:val="3B624683"/>
    <w:rsid w:val="3B7D7296"/>
    <w:rsid w:val="3B847E1B"/>
    <w:rsid w:val="3B966246"/>
    <w:rsid w:val="3BB75F98"/>
    <w:rsid w:val="3BC32CB5"/>
    <w:rsid w:val="3BD042A8"/>
    <w:rsid w:val="3BD44BB4"/>
    <w:rsid w:val="3BE357EB"/>
    <w:rsid w:val="3BEE385B"/>
    <w:rsid w:val="3BF10DE2"/>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705D2"/>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0211A"/>
    <w:rsid w:val="3EB25312"/>
    <w:rsid w:val="3EB374F4"/>
    <w:rsid w:val="3EBB0976"/>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D051BB"/>
    <w:rsid w:val="3FDB474D"/>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5F585A"/>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D82D93"/>
    <w:rsid w:val="42D855BF"/>
    <w:rsid w:val="42F079F7"/>
    <w:rsid w:val="42F53254"/>
    <w:rsid w:val="42F91401"/>
    <w:rsid w:val="42FB7958"/>
    <w:rsid w:val="4305612A"/>
    <w:rsid w:val="43083712"/>
    <w:rsid w:val="430E3C0B"/>
    <w:rsid w:val="431864F5"/>
    <w:rsid w:val="43713E15"/>
    <w:rsid w:val="437E67A3"/>
    <w:rsid w:val="439737D3"/>
    <w:rsid w:val="43974AF3"/>
    <w:rsid w:val="43993757"/>
    <w:rsid w:val="439F1B9A"/>
    <w:rsid w:val="43A177DC"/>
    <w:rsid w:val="43A67F46"/>
    <w:rsid w:val="43C4444C"/>
    <w:rsid w:val="43E05969"/>
    <w:rsid w:val="43E1495B"/>
    <w:rsid w:val="43E57F01"/>
    <w:rsid w:val="43E70622"/>
    <w:rsid w:val="43E84858"/>
    <w:rsid w:val="43EE7808"/>
    <w:rsid w:val="43F30F2C"/>
    <w:rsid w:val="43F343F4"/>
    <w:rsid w:val="440D0B35"/>
    <w:rsid w:val="4419664C"/>
    <w:rsid w:val="441B5712"/>
    <w:rsid w:val="442806C3"/>
    <w:rsid w:val="442C6726"/>
    <w:rsid w:val="4433234B"/>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8588E"/>
    <w:rsid w:val="44DD2FAF"/>
    <w:rsid w:val="44DE50E8"/>
    <w:rsid w:val="44DF7056"/>
    <w:rsid w:val="44E13266"/>
    <w:rsid w:val="44E20456"/>
    <w:rsid w:val="44EE2D41"/>
    <w:rsid w:val="44F92849"/>
    <w:rsid w:val="44FF5031"/>
    <w:rsid w:val="45042DB7"/>
    <w:rsid w:val="451275AF"/>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331EC"/>
    <w:rsid w:val="45EE1D5B"/>
    <w:rsid w:val="45F2646B"/>
    <w:rsid w:val="460B4346"/>
    <w:rsid w:val="46165270"/>
    <w:rsid w:val="46183026"/>
    <w:rsid w:val="461E7663"/>
    <w:rsid w:val="462324A3"/>
    <w:rsid w:val="4628589F"/>
    <w:rsid w:val="4641726E"/>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32600C"/>
    <w:rsid w:val="474D7636"/>
    <w:rsid w:val="475228B9"/>
    <w:rsid w:val="47593A3C"/>
    <w:rsid w:val="47713A6B"/>
    <w:rsid w:val="478364EA"/>
    <w:rsid w:val="47847318"/>
    <w:rsid w:val="4785785E"/>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DC046F"/>
    <w:rsid w:val="48E85CA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94E87"/>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3942BE"/>
    <w:rsid w:val="4A4E727E"/>
    <w:rsid w:val="4A5F613F"/>
    <w:rsid w:val="4A633982"/>
    <w:rsid w:val="4A683AA3"/>
    <w:rsid w:val="4A7D7E75"/>
    <w:rsid w:val="4A834616"/>
    <w:rsid w:val="4A8D1775"/>
    <w:rsid w:val="4A90642A"/>
    <w:rsid w:val="4A911E74"/>
    <w:rsid w:val="4A9E619C"/>
    <w:rsid w:val="4AB02584"/>
    <w:rsid w:val="4AC10A1D"/>
    <w:rsid w:val="4ACD5033"/>
    <w:rsid w:val="4AD52C86"/>
    <w:rsid w:val="4AD83B4F"/>
    <w:rsid w:val="4AD921C6"/>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BFC7C55"/>
    <w:rsid w:val="4C023EDF"/>
    <w:rsid w:val="4C0D3591"/>
    <w:rsid w:val="4C1374BF"/>
    <w:rsid w:val="4C185E4A"/>
    <w:rsid w:val="4C1D509B"/>
    <w:rsid w:val="4C241572"/>
    <w:rsid w:val="4C29398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A3907"/>
    <w:rsid w:val="4D1C2876"/>
    <w:rsid w:val="4D2808C1"/>
    <w:rsid w:val="4D294F95"/>
    <w:rsid w:val="4D2C1A79"/>
    <w:rsid w:val="4D431E87"/>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190962"/>
    <w:rsid w:val="4E195B02"/>
    <w:rsid w:val="4E2615C2"/>
    <w:rsid w:val="4E320A6E"/>
    <w:rsid w:val="4E462753"/>
    <w:rsid w:val="4E4C5E35"/>
    <w:rsid w:val="4E4F05AB"/>
    <w:rsid w:val="4E5415CC"/>
    <w:rsid w:val="4E55012B"/>
    <w:rsid w:val="4E564179"/>
    <w:rsid w:val="4E5E7C3E"/>
    <w:rsid w:val="4E625585"/>
    <w:rsid w:val="4E664D38"/>
    <w:rsid w:val="4E785B25"/>
    <w:rsid w:val="4E7F7874"/>
    <w:rsid w:val="4E804F98"/>
    <w:rsid w:val="4E874633"/>
    <w:rsid w:val="4E8E6E49"/>
    <w:rsid w:val="4E9227B8"/>
    <w:rsid w:val="4E997105"/>
    <w:rsid w:val="4EA555E0"/>
    <w:rsid w:val="4EAB5162"/>
    <w:rsid w:val="4EB111C5"/>
    <w:rsid w:val="4EB52CBA"/>
    <w:rsid w:val="4EBB0488"/>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D52511"/>
    <w:rsid w:val="4FE560B6"/>
    <w:rsid w:val="4FE930EF"/>
    <w:rsid w:val="4FF92E0C"/>
    <w:rsid w:val="4FFD18F5"/>
    <w:rsid w:val="50042CAC"/>
    <w:rsid w:val="500938A3"/>
    <w:rsid w:val="500B2F92"/>
    <w:rsid w:val="500D1E57"/>
    <w:rsid w:val="50186A66"/>
    <w:rsid w:val="501C59C2"/>
    <w:rsid w:val="50245125"/>
    <w:rsid w:val="502B4CDF"/>
    <w:rsid w:val="502D7C51"/>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82C51"/>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16941"/>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8A707B"/>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2202D"/>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C4640"/>
    <w:rsid w:val="585E5D36"/>
    <w:rsid w:val="586C3829"/>
    <w:rsid w:val="588732D9"/>
    <w:rsid w:val="588A3835"/>
    <w:rsid w:val="588F7916"/>
    <w:rsid w:val="5891099B"/>
    <w:rsid w:val="58AA6AF5"/>
    <w:rsid w:val="58BC5E18"/>
    <w:rsid w:val="58C22FDA"/>
    <w:rsid w:val="58C47DC8"/>
    <w:rsid w:val="58CD3911"/>
    <w:rsid w:val="58D153BF"/>
    <w:rsid w:val="58EA1100"/>
    <w:rsid w:val="58EF1A72"/>
    <w:rsid w:val="58F60382"/>
    <w:rsid w:val="58FC7BCA"/>
    <w:rsid w:val="590C7035"/>
    <w:rsid w:val="592947BA"/>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7D1E60"/>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BFE7CE0"/>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42630"/>
    <w:rsid w:val="5DD72A9C"/>
    <w:rsid w:val="5DDE1709"/>
    <w:rsid w:val="5DF33040"/>
    <w:rsid w:val="5E035108"/>
    <w:rsid w:val="5E1158D0"/>
    <w:rsid w:val="5E1244C0"/>
    <w:rsid w:val="5E157A33"/>
    <w:rsid w:val="5E17539E"/>
    <w:rsid w:val="5E3C267D"/>
    <w:rsid w:val="5E446532"/>
    <w:rsid w:val="5E512AAC"/>
    <w:rsid w:val="5E52269F"/>
    <w:rsid w:val="5E7061BC"/>
    <w:rsid w:val="5E794778"/>
    <w:rsid w:val="5E7F083D"/>
    <w:rsid w:val="5E830714"/>
    <w:rsid w:val="5E852A0D"/>
    <w:rsid w:val="5E947676"/>
    <w:rsid w:val="5E9D0C97"/>
    <w:rsid w:val="5EAA4D92"/>
    <w:rsid w:val="5ECE2A7B"/>
    <w:rsid w:val="5EDC6896"/>
    <w:rsid w:val="5EE13F2F"/>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0AF9"/>
    <w:rsid w:val="5FB24DAB"/>
    <w:rsid w:val="5FB33960"/>
    <w:rsid w:val="5FB87F99"/>
    <w:rsid w:val="5FD82E19"/>
    <w:rsid w:val="5FE00CF1"/>
    <w:rsid w:val="5FE14A06"/>
    <w:rsid w:val="5FE474BE"/>
    <w:rsid w:val="5FEB0564"/>
    <w:rsid w:val="5FEE1F03"/>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2699B"/>
    <w:rsid w:val="61430455"/>
    <w:rsid w:val="61484E3B"/>
    <w:rsid w:val="61487C00"/>
    <w:rsid w:val="616052D4"/>
    <w:rsid w:val="61623677"/>
    <w:rsid w:val="61624256"/>
    <w:rsid w:val="61685E8F"/>
    <w:rsid w:val="617440B0"/>
    <w:rsid w:val="6175731A"/>
    <w:rsid w:val="618849FE"/>
    <w:rsid w:val="61A439DD"/>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00CC4"/>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1F127F"/>
    <w:rsid w:val="6326229B"/>
    <w:rsid w:val="632A6B46"/>
    <w:rsid w:val="632D52DD"/>
    <w:rsid w:val="632E6DD3"/>
    <w:rsid w:val="632F6AC8"/>
    <w:rsid w:val="633B3E57"/>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C532AF"/>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CF2896"/>
    <w:rsid w:val="64D05979"/>
    <w:rsid w:val="64E24D6D"/>
    <w:rsid w:val="64E831C7"/>
    <w:rsid w:val="64F67B0E"/>
    <w:rsid w:val="65023041"/>
    <w:rsid w:val="650A7C07"/>
    <w:rsid w:val="650D6DA5"/>
    <w:rsid w:val="65167F5B"/>
    <w:rsid w:val="651F3DD8"/>
    <w:rsid w:val="65231C0C"/>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558C0"/>
    <w:rsid w:val="665729E8"/>
    <w:rsid w:val="665F59D4"/>
    <w:rsid w:val="66630863"/>
    <w:rsid w:val="66781E78"/>
    <w:rsid w:val="66800E16"/>
    <w:rsid w:val="668502B9"/>
    <w:rsid w:val="6689148A"/>
    <w:rsid w:val="668A1EBE"/>
    <w:rsid w:val="668A3BAD"/>
    <w:rsid w:val="668A4D72"/>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D7EE2"/>
    <w:rsid w:val="674F4C2B"/>
    <w:rsid w:val="675B7263"/>
    <w:rsid w:val="67806285"/>
    <w:rsid w:val="678A22B2"/>
    <w:rsid w:val="67930E60"/>
    <w:rsid w:val="67D36CC8"/>
    <w:rsid w:val="67DC4299"/>
    <w:rsid w:val="67E82AF4"/>
    <w:rsid w:val="67E919DD"/>
    <w:rsid w:val="67E91CA4"/>
    <w:rsid w:val="67ED23BF"/>
    <w:rsid w:val="67F26965"/>
    <w:rsid w:val="67F92004"/>
    <w:rsid w:val="67FF429B"/>
    <w:rsid w:val="68143F25"/>
    <w:rsid w:val="681719E7"/>
    <w:rsid w:val="6829718E"/>
    <w:rsid w:val="6837073E"/>
    <w:rsid w:val="685913A3"/>
    <w:rsid w:val="68606BC4"/>
    <w:rsid w:val="686D63A3"/>
    <w:rsid w:val="686E774E"/>
    <w:rsid w:val="68747F15"/>
    <w:rsid w:val="687C217A"/>
    <w:rsid w:val="688246CA"/>
    <w:rsid w:val="688E20CA"/>
    <w:rsid w:val="68915076"/>
    <w:rsid w:val="68A11CA0"/>
    <w:rsid w:val="68AB108F"/>
    <w:rsid w:val="68B168EB"/>
    <w:rsid w:val="68B62204"/>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1B7628"/>
    <w:rsid w:val="6B234377"/>
    <w:rsid w:val="6B254633"/>
    <w:rsid w:val="6B2B3653"/>
    <w:rsid w:val="6B2E30AF"/>
    <w:rsid w:val="6B455344"/>
    <w:rsid w:val="6B467A08"/>
    <w:rsid w:val="6B4840AC"/>
    <w:rsid w:val="6B7B299A"/>
    <w:rsid w:val="6B8F07B0"/>
    <w:rsid w:val="6B8F65BA"/>
    <w:rsid w:val="6B940773"/>
    <w:rsid w:val="6BBA3CAB"/>
    <w:rsid w:val="6BC53CE9"/>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B41798"/>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2948A7"/>
    <w:rsid w:val="703F7370"/>
    <w:rsid w:val="704325C5"/>
    <w:rsid w:val="705576DB"/>
    <w:rsid w:val="70695C9A"/>
    <w:rsid w:val="7074310D"/>
    <w:rsid w:val="707722CC"/>
    <w:rsid w:val="708C3F72"/>
    <w:rsid w:val="708F61BF"/>
    <w:rsid w:val="709E1B7E"/>
    <w:rsid w:val="70A02E14"/>
    <w:rsid w:val="70D33A4E"/>
    <w:rsid w:val="70D44775"/>
    <w:rsid w:val="70DC15E0"/>
    <w:rsid w:val="70E72D65"/>
    <w:rsid w:val="70F11CD3"/>
    <w:rsid w:val="70F229D5"/>
    <w:rsid w:val="70FA726D"/>
    <w:rsid w:val="71023D34"/>
    <w:rsid w:val="71031766"/>
    <w:rsid w:val="71112BCC"/>
    <w:rsid w:val="711805BC"/>
    <w:rsid w:val="71190328"/>
    <w:rsid w:val="7130053F"/>
    <w:rsid w:val="71320D65"/>
    <w:rsid w:val="71321712"/>
    <w:rsid w:val="714723BA"/>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080F28"/>
    <w:rsid w:val="721644EE"/>
    <w:rsid w:val="722E7DDE"/>
    <w:rsid w:val="72506D75"/>
    <w:rsid w:val="725170B9"/>
    <w:rsid w:val="725D18A8"/>
    <w:rsid w:val="72652FD8"/>
    <w:rsid w:val="7266646D"/>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BA7799"/>
    <w:rsid w:val="73C20C8C"/>
    <w:rsid w:val="73CD4C78"/>
    <w:rsid w:val="73D85A6B"/>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C90788"/>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305497"/>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52500"/>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8B36D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17B38"/>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245D7"/>
    <w:rsid w:val="7B782762"/>
    <w:rsid w:val="7B7D2D58"/>
    <w:rsid w:val="7B897D0E"/>
    <w:rsid w:val="7B8D3493"/>
    <w:rsid w:val="7B991477"/>
    <w:rsid w:val="7BA60971"/>
    <w:rsid w:val="7BAE4F92"/>
    <w:rsid w:val="7BB41DE1"/>
    <w:rsid w:val="7BBB4037"/>
    <w:rsid w:val="7BBF12E0"/>
    <w:rsid w:val="7BD310C0"/>
    <w:rsid w:val="7BDB7CBE"/>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14B31"/>
    <w:rsid w:val="7C566918"/>
    <w:rsid w:val="7C5E0F9F"/>
    <w:rsid w:val="7C6F1C35"/>
    <w:rsid w:val="7C8378B5"/>
    <w:rsid w:val="7C880AF4"/>
    <w:rsid w:val="7C894DA4"/>
    <w:rsid w:val="7CA25A11"/>
    <w:rsid w:val="7CA66FDE"/>
    <w:rsid w:val="7CAA5048"/>
    <w:rsid w:val="7CC56E00"/>
    <w:rsid w:val="7CCD4836"/>
    <w:rsid w:val="7CD65610"/>
    <w:rsid w:val="7CDE73E1"/>
    <w:rsid w:val="7CED1392"/>
    <w:rsid w:val="7CF74207"/>
    <w:rsid w:val="7CFB7376"/>
    <w:rsid w:val="7D13002B"/>
    <w:rsid w:val="7D1619DA"/>
    <w:rsid w:val="7D241E92"/>
    <w:rsid w:val="7D290A6E"/>
    <w:rsid w:val="7D2D13A8"/>
    <w:rsid w:val="7D2D6F2A"/>
    <w:rsid w:val="7D3126F3"/>
    <w:rsid w:val="7D326277"/>
    <w:rsid w:val="7D35110B"/>
    <w:rsid w:val="7D385AC2"/>
    <w:rsid w:val="7D3D2A50"/>
    <w:rsid w:val="7D583DB7"/>
    <w:rsid w:val="7D594814"/>
    <w:rsid w:val="7D5C3528"/>
    <w:rsid w:val="7D6679BE"/>
    <w:rsid w:val="7D6A6437"/>
    <w:rsid w:val="7D6B74E1"/>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8316D"/>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45"/>
    <w:qFormat/>
    <w:uiPriority w:val="0"/>
    <w:pPr>
      <w:spacing w:line="480" w:lineRule="atLeast"/>
      <w:outlineLvl w:val="0"/>
    </w:pPr>
    <w:rPr>
      <w:rFonts w:ascii="宋体" w:hAnsi="宋体" w:eastAsia="宋体"/>
      <w:b/>
      <w:sz w:val="30"/>
      <w:szCs w:val="30"/>
    </w:rPr>
  </w:style>
  <w:style w:type="paragraph" w:styleId="6">
    <w:name w:val="heading 2"/>
    <w:basedOn w:val="5"/>
    <w:next w:val="1"/>
    <w:link w:val="46"/>
    <w:qFormat/>
    <w:uiPriority w:val="0"/>
    <w:pPr>
      <w:outlineLvl w:val="1"/>
    </w:pPr>
    <w:rPr>
      <w:sz w:val="28"/>
    </w:rPr>
  </w:style>
  <w:style w:type="paragraph" w:styleId="7">
    <w:name w:val="heading 3"/>
    <w:basedOn w:val="1"/>
    <w:next w:val="1"/>
    <w:link w:val="47"/>
    <w:qFormat/>
    <w:uiPriority w:val="0"/>
    <w:pPr>
      <w:spacing w:line="480" w:lineRule="atLeast"/>
      <w:outlineLvl w:val="2"/>
    </w:pPr>
    <w:rPr>
      <w:rFonts w:ascii="宋体" w:hAnsi="宋体" w:eastAsia="宋体"/>
      <w:sz w:val="24"/>
      <w:szCs w:val="24"/>
    </w:rPr>
  </w:style>
  <w:style w:type="paragraph" w:styleId="8">
    <w:name w:val="heading 4"/>
    <w:basedOn w:val="1"/>
    <w:next w:val="9"/>
    <w:link w:val="48"/>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link w:val="83"/>
    <w:qFormat/>
    <w:uiPriority w:val="0"/>
    <w:pPr>
      <w:spacing w:line="300" w:lineRule="exact"/>
      <w:ind w:firstLine="538"/>
    </w:pPr>
    <w:rPr>
      <w:rFonts w:ascii="宋体" w:hAnsi="Times New Roman" w:eastAsia="宋体" w:cs="Times New Roman"/>
      <w:sz w:val="24"/>
      <w:szCs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9">
    <w:name w:val="Normal Indent"/>
    <w:basedOn w:val="1"/>
    <w:next w:val="10"/>
    <w:link w:val="73"/>
    <w:qFormat/>
    <w:uiPriority w:val="0"/>
    <w:pPr>
      <w:ind w:firstLine="420" w:firstLineChars="200"/>
    </w:pPr>
    <w:rPr>
      <w:rFonts w:eastAsia="宋体"/>
      <w:szCs w:val="24"/>
    </w:rPr>
  </w:style>
  <w:style w:type="paragraph" w:customStyle="1" w:styleId="10">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paragraph" w:styleId="11">
    <w:name w:val="Body Text"/>
    <w:basedOn w:val="1"/>
    <w:next w:val="12"/>
    <w:link w:val="82"/>
    <w:qFormat/>
    <w:uiPriority w:val="0"/>
    <w:rPr>
      <w:rFonts w:ascii="Times New Roman" w:hAnsi="Times New Roman" w:eastAsia="宋体" w:cs="Times New Roman"/>
      <w:sz w:val="32"/>
      <w:szCs w:val="20"/>
    </w:rPr>
  </w:style>
  <w:style w:type="paragraph" w:styleId="12">
    <w:name w:val="List Bullet 5"/>
    <w:basedOn w:val="1"/>
    <w:semiHidden/>
    <w:unhideWhenUsed/>
    <w:uiPriority w:val="99"/>
    <w:pPr>
      <w:numPr>
        <w:ilvl w:val="0"/>
        <w:numId w:val="1"/>
      </w:numPr>
    </w:pPr>
  </w:style>
  <w:style w:type="paragraph" w:styleId="13">
    <w:name w:val="caption"/>
    <w:basedOn w:val="1"/>
    <w:next w:val="1"/>
    <w:link w:val="74"/>
    <w:qFormat/>
    <w:uiPriority w:val="0"/>
    <w:pPr>
      <w:jc w:val="center"/>
    </w:pPr>
    <w:rPr>
      <w:rFonts w:ascii="宋体" w:hAnsi="Arial" w:eastAsia="宋体" w:cs="Arial"/>
    </w:rPr>
  </w:style>
  <w:style w:type="paragraph" w:styleId="14">
    <w:name w:val="Document Map"/>
    <w:basedOn w:val="1"/>
    <w:link w:val="79"/>
    <w:semiHidden/>
    <w:qFormat/>
    <w:uiPriority w:val="0"/>
    <w:pPr>
      <w:shd w:val="clear" w:color="auto" w:fill="000080"/>
    </w:pPr>
    <w:rPr>
      <w:rFonts w:ascii="Times New Roman" w:hAnsi="Times New Roman" w:eastAsia="宋体" w:cs="Times New Roman"/>
      <w:szCs w:val="24"/>
    </w:rPr>
  </w:style>
  <w:style w:type="paragraph" w:styleId="15">
    <w:name w:val="annotation text"/>
    <w:basedOn w:val="1"/>
    <w:link w:val="57"/>
    <w:qFormat/>
    <w:uiPriority w:val="0"/>
    <w:pPr>
      <w:jc w:val="left"/>
    </w:pPr>
    <w:rPr>
      <w:szCs w:val="24"/>
    </w:rPr>
  </w:style>
  <w:style w:type="paragraph" w:styleId="16">
    <w:name w:val="Body Text 3"/>
    <w:basedOn w:val="1"/>
    <w:link w:val="78"/>
    <w:qFormat/>
    <w:uiPriority w:val="0"/>
    <w:pPr>
      <w:spacing w:after="120"/>
    </w:pPr>
    <w:rPr>
      <w:rFonts w:ascii="Times New Roman" w:hAnsi="Times New Roman" w:eastAsia="宋体" w:cs="Times New Roman"/>
      <w:sz w:val="16"/>
      <w:szCs w:val="16"/>
    </w:rPr>
  </w:style>
  <w:style w:type="paragraph" w:styleId="17">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8">
    <w:name w:val="toc 3"/>
    <w:basedOn w:val="1"/>
    <w:next w:val="1"/>
    <w:unhideWhenUsed/>
    <w:qFormat/>
    <w:uiPriority w:val="39"/>
    <w:pPr>
      <w:widowControl/>
      <w:spacing w:after="100" w:line="259" w:lineRule="auto"/>
      <w:ind w:left="440"/>
      <w:jc w:val="left"/>
    </w:pPr>
    <w:rPr>
      <w:rFonts w:cs="Times New Roman"/>
      <w:kern w:val="0"/>
      <w:sz w:val="22"/>
    </w:rPr>
  </w:style>
  <w:style w:type="paragraph" w:styleId="19">
    <w:name w:val="Plain Text"/>
    <w:basedOn w:val="1"/>
    <w:link w:val="76"/>
    <w:qFormat/>
    <w:uiPriority w:val="0"/>
    <w:rPr>
      <w:rFonts w:ascii="宋体" w:hAnsi="Courier New" w:eastAsia="宋体"/>
    </w:rPr>
  </w:style>
  <w:style w:type="paragraph" w:styleId="20">
    <w:name w:val="Date"/>
    <w:basedOn w:val="1"/>
    <w:next w:val="1"/>
    <w:link w:val="50"/>
    <w:unhideWhenUsed/>
    <w:qFormat/>
    <w:uiPriority w:val="0"/>
    <w:pPr>
      <w:ind w:left="100" w:leftChars="2500"/>
    </w:pPr>
  </w:style>
  <w:style w:type="paragraph" w:styleId="21">
    <w:name w:val="Body Text Indent 2"/>
    <w:basedOn w:val="1"/>
    <w:link w:val="86"/>
    <w:qFormat/>
    <w:uiPriority w:val="0"/>
    <w:pPr>
      <w:ind w:left="-140" w:firstLine="560"/>
      <w:jc w:val="left"/>
      <w:outlineLvl w:val="0"/>
    </w:pPr>
    <w:rPr>
      <w:rFonts w:ascii="Times New Roman" w:hAnsi="Times New Roman" w:eastAsia="宋体" w:cs="Times New Roman"/>
      <w:sz w:val="28"/>
      <w:szCs w:val="20"/>
    </w:rPr>
  </w:style>
  <w:style w:type="paragraph" w:styleId="22">
    <w:name w:val="Balloon Text"/>
    <w:basedOn w:val="1"/>
    <w:link w:val="49"/>
    <w:unhideWhenUsed/>
    <w:qFormat/>
    <w:uiPriority w:val="0"/>
    <w:rPr>
      <w:sz w:val="18"/>
      <w:szCs w:val="18"/>
    </w:rPr>
  </w:style>
  <w:style w:type="paragraph" w:styleId="23">
    <w:name w:val="footer"/>
    <w:basedOn w:val="1"/>
    <w:link w:val="52"/>
    <w:unhideWhenUsed/>
    <w:qFormat/>
    <w:uiPriority w:val="99"/>
    <w:pPr>
      <w:tabs>
        <w:tab w:val="center" w:pos="4153"/>
        <w:tab w:val="right" w:pos="8306"/>
      </w:tabs>
      <w:snapToGrid w:val="0"/>
      <w:jc w:val="left"/>
    </w:pPr>
    <w:rPr>
      <w:sz w:val="18"/>
      <w:szCs w:val="18"/>
    </w:rPr>
  </w:style>
  <w:style w:type="paragraph" w:styleId="24">
    <w:name w:val="header"/>
    <w:basedOn w:val="1"/>
    <w:next w:val="25"/>
    <w:link w:val="51"/>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5">
    <w:name w:val="样式5"/>
    <w:basedOn w:val="26"/>
    <w:qFormat/>
    <w:uiPriority w:val="0"/>
    <w:pPr>
      <w:snapToGrid w:val="0"/>
      <w:spacing w:beforeLines="20" w:afterLines="20" w:line="480" w:lineRule="exact"/>
      <w:ind w:firstLine="523" w:firstLineChars="218"/>
      <w:jc w:val="both"/>
    </w:pPr>
    <w:rPr>
      <w:i/>
      <w:iCs/>
      <w:kern w:val="2"/>
      <w:sz w:val="24"/>
      <w:szCs w:val="20"/>
    </w:rPr>
  </w:style>
  <w:style w:type="paragraph" w:customStyle="1" w:styleId="26">
    <w:name w:val="正文1"/>
    <w:basedOn w:val="1"/>
    <w:link w:val="70"/>
    <w:qFormat/>
    <w:uiPriority w:val="0"/>
    <w:pPr>
      <w:adjustRightInd w:val="0"/>
      <w:snapToGrid w:val="0"/>
      <w:spacing w:line="500" w:lineRule="atLeast"/>
      <w:ind w:firstLine="567"/>
    </w:pPr>
    <w:rPr>
      <w:rFonts w:eastAsia="宋体"/>
    </w:rPr>
  </w:style>
  <w:style w:type="paragraph" w:styleId="27">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8">
    <w:name w:val="Subtitle"/>
    <w:basedOn w:val="1"/>
    <w:next w:val="1"/>
    <w:qFormat/>
    <w:uiPriority w:val="99"/>
    <w:pPr>
      <w:widowControl/>
      <w:adjustRightInd w:val="0"/>
      <w:snapToGrid w:val="0"/>
      <w:jc w:val="center"/>
    </w:pPr>
    <w:rPr>
      <w:rFonts w:ascii="宋体" w:hAnsi="宋体"/>
      <w:color w:val="000000"/>
      <w:kern w:val="0"/>
      <w:szCs w:val="21"/>
    </w:rPr>
  </w:style>
  <w:style w:type="paragraph" w:styleId="29">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30">
    <w:name w:val="Body Text Indent 3"/>
    <w:basedOn w:val="1"/>
    <w:link w:val="85"/>
    <w:qFormat/>
    <w:uiPriority w:val="0"/>
    <w:pPr>
      <w:ind w:firstLine="540"/>
    </w:pPr>
    <w:rPr>
      <w:rFonts w:hint="eastAsia" w:ascii="宋体" w:hAnsi="Times New Roman" w:eastAsia="宋体" w:cs="Times New Roman"/>
      <w:sz w:val="28"/>
      <w:szCs w:val="20"/>
    </w:rPr>
  </w:style>
  <w:style w:type="paragraph" w:styleId="31">
    <w:name w:val="toc 2"/>
    <w:basedOn w:val="1"/>
    <w:next w:val="1"/>
    <w:unhideWhenUsed/>
    <w:qFormat/>
    <w:uiPriority w:val="39"/>
    <w:pPr>
      <w:ind w:left="420" w:leftChars="200"/>
    </w:pPr>
  </w:style>
  <w:style w:type="paragraph" w:styleId="32">
    <w:name w:val="Body Text 2"/>
    <w:basedOn w:val="1"/>
    <w:link w:val="87"/>
    <w:qFormat/>
    <w:uiPriority w:val="0"/>
    <w:rPr>
      <w:rFonts w:ascii="Times New Roman" w:hAnsi="Times New Roman" w:eastAsia="宋体" w:cs="Times New Roman"/>
      <w:szCs w:val="20"/>
    </w:rPr>
  </w:style>
  <w:style w:type="paragraph" w:styleId="33">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qFormat/>
    <w:uiPriority w:val="0"/>
    <w:pPr>
      <w:spacing w:line="192" w:lineRule="auto"/>
      <w:jc w:val="center"/>
    </w:pPr>
    <w:rPr>
      <w:rFonts w:ascii="宋体" w:hAnsi="宋体" w:eastAsia="宋体" w:cs="Times New Roman"/>
      <w:szCs w:val="20"/>
    </w:rPr>
  </w:style>
  <w:style w:type="paragraph" w:styleId="35">
    <w:name w:val="annotation subject"/>
    <w:basedOn w:val="15"/>
    <w:next w:val="15"/>
    <w:link w:val="77"/>
    <w:qFormat/>
    <w:uiPriority w:val="0"/>
    <w:rPr>
      <w:b/>
      <w:bCs/>
    </w:rPr>
  </w:style>
  <w:style w:type="paragraph" w:styleId="36">
    <w:name w:val="Body Text First Indent"/>
    <w:basedOn w:val="11"/>
    <w:qFormat/>
    <w:uiPriority w:val="0"/>
    <w:pPr>
      <w:spacing w:after="120" w:line="240" w:lineRule="auto"/>
      <w:ind w:firstLine="420" w:firstLineChars="100"/>
    </w:pPr>
    <w:rPr>
      <w:sz w:val="28"/>
      <w:szCs w:val="24"/>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0"/>
    <w:rPr>
      <w:b/>
      <w:bCs/>
    </w:rPr>
  </w:style>
  <w:style w:type="character" w:styleId="41">
    <w:name w:val="page number"/>
    <w:basedOn w:val="39"/>
    <w:qFormat/>
    <w:uiPriority w:val="0"/>
  </w:style>
  <w:style w:type="character" w:styleId="42">
    <w:name w:val="Emphasis"/>
    <w:basedOn w:val="39"/>
    <w:qFormat/>
    <w:uiPriority w:val="0"/>
    <w:rPr>
      <w:i/>
      <w:iCs/>
    </w:rPr>
  </w:style>
  <w:style w:type="character" w:styleId="43">
    <w:name w:val="Hyperlink"/>
    <w:basedOn w:val="39"/>
    <w:qFormat/>
    <w:uiPriority w:val="99"/>
    <w:rPr>
      <w:color w:val="000000"/>
      <w:u w:val="single"/>
    </w:rPr>
  </w:style>
  <w:style w:type="character" w:styleId="44">
    <w:name w:val="annotation reference"/>
    <w:basedOn w:val="39"/>
    <w:qFormat/>
    <w:uiPriority w:val="0"/>
    <w:rPr>
      <w:sz w:val="21"/>
      <w:szCs w:val="21"/>
    </w:rPr>
  </w:style>
  <w:style w:type="character" w:customStyle="1" w:styleId="45">
    <w:name w:val="标题 1 Char"/>
    <w:basedOn w:val="39"/>
    <w:link w:val="5"/>
    <w:qFormat/>
    <w:uiPriority w:val="0"/>
    <w:rPr>
      <w:rFonts w:ascii="宋体" w:hAnsi="宋体" w:eastAsia="宋体"/>
      <w:b/>
      <w:sz w:val="30"/>
      <w:szCs w:val="30"/>
    </w:rPr>
  </w:style>
  <w:style w:type="character" w:customStyle="1" w:styleId="46">
    <w:name w:val="标题 2 Char"/>
    <w:basedOn w:val="39"/>
    <w:link w:val="6"/>
    <w:qFormat/>
    <w:uiPriority w:val="0"/>
    <w:rPr>
      <w:rFonts w:ascii="宋体" w:hAnsi="宋体" w:eastAsia="宋体"/>
      <w:b/>
      <w:sz w:val="28"/>
      <w:szCs w:val="30"/>
    </w:rPr>
  </w:style>
  <w:style w:type="character" w:customStyle="1" w:styleId="47">
    <w:name w:val="标题 3 Char"/>
    <w:basedOn w:val="39"/>
    <w:link w:val="7"/>
    <w:qFormat/>
    <w:uiPriority w:val="0"/>
    <w:rPr>
      <w:rFonts w:ascii="宋体" w:hAnsi="宋体" w:eastAsia="宋体"/>
      <w:sz w:val="24"/>
      <w:szCs w:val="24"/>
    </w:rPr>
  </w:style>
  <w:style w:type="character" w:customStyle="1" w:styleId="48">
    <w:name w:val="标题 4 Char"/>
    <w:basedOn w:val="39"/>
    <w:link w:val="8"/>
    <w:qFormat/>
    <w:uiPriority w:val="0"/>
    <w:rPr>
      <w:rFonts w:ascii="Arial" w:hAnsi="Arial" w:eastAsia="黑体" w:cs="Times New Roman"/>
      <w:b/>
      <w:bCs/>
      <w:sz w:val="28"/>
      <w:szCs w:val="28"/>
    </w:rPr>
  </w:style>
  <w:style w:type="character" w:customStyle="1" w:styleId="49">
    <w:name w:val="批注框文本 Char"/>
    <w:basedOn w:val="39"/>
    <w:link w:val="22"/>
    <w:qFormat/>
    <w:uiPriority w:val="0"/>
    <w:rPr>
      <w:sz w:val="18"/>
      <w:szCs w:val="18"/>
    </w:rPr>
  </w:style>
  <w:style w:type="character" w:customStyle="1" w:styleId="50">
    <w:name w:val="日期 Char"/>
    <w:basedOn w:val="39"/>
    <w:link w:val="20"/>
    <w:qFormat/>
    <w:uiPriority w:val="0"/>
  </w:style>
  <w:style w:type="character" w:customStyle="1" w:styleId="51">
    <w:name w:val="页眉 Char"/>
    <w:basedOn w:val="39"/>
    <w:link w:val="24"/>
    <w:qFormat/>
    <w:uiPriority w:val="0"/>
    <w:rPr>
      <w:sz w:val="18"/>
      <w:szCs w:val="18"/>
    </w:rPr>
  </w:style>
  <w:style w:type="character" w:customStyle="1" w:styleId="52">
    <w:name w:val="页脚 Char"/>
    <w:basedOn w:val="39"/>
    <w:link w:val="23"/>
    <w:qFormat/>
    <w:uiPriority w:val="99"/>
    <w:rPr>
      <w:sz w:val="18"/>
      <w:szCs w:val="18"/>
    </w:rPr>
  </w:style>
  <w:style w:type="character" w:customStyle="1" w:styleId="53">
    <w:name w:val="apple-converted-space"/>
    <w:basedOn w:val="39"/>
    <w:qFormat/>
    <w:uiPriority w:val="0"/>
  </w:style>
  <w:style w:type="character" w:customStyle="1" w:styleId="54">
    <w:name w:val="表内容@ Char"/>
    <w:basedOn w:val="39"/>
    <w:link w:val="55"/>
    <w:qFormat/>
    <w:uiPriority w:val="0"/>
    <w:rPr>
      <w:rFonts w:ascii="宋体" w:hAnsi="宋体" w:eastAsia="宋体" w:cs="Arial"/>
      <w:szCs w:val="21"/>
    </w:rPr>
  </w:style>
  <w:style w:type="paragraph" w:customStyle="1" w:styleId="55">
    <w:name w:val="表内容@"/>
    <w:basedOn w:val="1"/>
    <w:link w:val="54"/>
    <w:qFormat/>
    <w:uiPriority w:val="0"/>
    <w:pPr>
      <w:adjustRightInd w:val="0"/>
      <w:jc w:val="center"/>
    </w:pPr>
    <w:rPr>
      <w:rFonts w:ascii="宋体" w:hAnsi="宋体" w:eastAsia="宋体" w:cs="Arial"/>
      <w:szCs w:val="21"/>
    </w:rPr>
  </w:style>
  <w:style w:type="character" w:customStyle="1" w:styleId="56">
    <w:name w:val="t1"/>
    <w:qFormat/>
    <w:uiPriority w:val="0"/>
    <w:rPr>
      <w:sz w:val="28"/>
      <w:szCs w:val="28"/>
    </w:rPr>
  </w:style>
  <w:style w:type="character" w:customStyle="1" w:styleId="57">
    <w:name w:val="批注文字 Char"/>
    <w:basedOn w:val="39"/>
    <w:link w:val="15"/>
    <w:qFormat/>
    <w:uiPriority w:val="0"/>
    <w:rPr>
      <w:szCs w:val="24"/>
    </w:rPr>
  </w:style>
  <w:style w:type="character" w:customStyle="1" w:styleId="58">
    <w:name w:val="样式 正文@ + 首行缩进:  2 字符2 Char"/>
    <w:basedOn w:val="39"/>
    <w:link w:val="59"/>
    <w:qFormat/>
    <w:uiPriority w:val="0"/>
    <w:rPr>
      <w:rFonts w:ascii="宋体" w:hAnsi="宋体" w:eastAsia="宋体" w:cs="宋体"/>
      <w:sz w:val="24"/>
    </w:rPr>
  </w:style>
  <w:style w:type="paragraph" w:customStyle="1" w:styleId="59">
    <w:name w:val="样式 正文@ + 首行缩进:  2 字符2"/>
    <w:basedOn w:val="1"/>
    <w:link w:val="58"/>
    <w:qFormat/>
    <w:uiPriority w:val="0"/>
    <w:pPr>
      <w:spacing w:line="360" w:lineRule="auto"/>
      <w:ind w:firstLine="480" w:firstLineChars="200"/>
    </w:pPr>
    <w:rPr>
      <w:rFonts w:ascii="宋体" w:hAnsi="宋体" w:eastAsia="宋体" w:cs="宋体"/>
      <w:sz w:val="24"/>
    </w:rPr>
  </w:style>
  <w:style w:type="character" w:customStyle="1" w:styleId="60">
    <w:name w:val="样式 样式 正文@ + 首行缩进:  2 字符 字距调整小四 紧缩量  0.2 磅 + 首行缩进:  2 字符 Char"/>
    <w:basedOn w:val="39"/>
    <w:link w:val="61"/>
    <w:qFormat/>
    <w:uiPriority w:val="0"/>
    <w:rPr>
      <w:rFonts w:ascii="宋体" w:hAnsi="宋体" w:eastAsia="宋体" w:cs="宋体"/>
      <w:kern w:val="24"/>
      <w:sz w:val="24"/>
      <w:szCs w:val="24"/>
    </w:rPr>
  </w:style>
  <w:style w:type="paragraph" w:customStyle="1" w:styleId="61">
    <w:name w:val="样式 样式 正文@ + 首行缩进:  2 字符 字距调整小四 紧缩量  0.2 磅 + 首行缩进:  2 字符"/>
    <w:basedOn w:val="1"/>
    <w:link w:val="60"/>
    <w:qFormat/>
    <w:uiPriority w:val="0"/>
    <w:pPr>
      <w:spacing w:line="360" w:lineRule="auto"/>
      <w:ind w:firstLine="480" w:firstLineChars="200"/>
    </w:pPr>
    <w:rPr>
      <w:rFonts w:ascii="宋体" w:hAnsi="宋体" w:eastAsia="宋体" w:cs="宋体"/>
      <w:kern w:val="24"/>
      <w:sz w:val="24"/>
      <w:szCs w:val="24"/>
    </w:rPr>
  </w:style>
  <w:style w:type="character" w:customStyle="1" w:styleId="62">
    <w:name w:val="d1"/>
    <w:basedOn w:val="39"/>
    <w:qFormat/>
    <w:uiPriority w:val="0"/>
    <w:rPr>
      <w:rFonts w:hint="default" w:ascii="ˎ̥" w:hAnsi="ˎ̥"/>
      <w:color w:val="5C5C5C"/>
      <w:sz w:val="23"/>
      <w:szCs w:val="23"/>
      <w:u w:val="none"/>
    </w:rPr>
  </w:style>
  <w:style w:type="character" w:customStyle="1" w:styleId="63">
    <w:name w:val="正文2 Char Char"/>
    <w:basedOn w:val="39"/>
    <w:link w:val="64"/>
    <w:qFormat/>
    <w:uiPriority w:val="0"/>
    <w:rPr>
      <w:spacing w:val="18"/>
      <w:sz w:val="32"/>
    </w:rPr>
  </w:style>
  <w:style w:type="paragraph" w:customStyle="1" w:styleId="64">
    <w:name w:val="正文2"/>
    <w:link w:val="63"/>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5">
    <w:name w:val="表头 Char"/>
    <w:basedOn w:val="39"/>
    <w:link w:val="66"/>
    <w:qFormat/>
    <w:uiPriority w:val="0"/>
    <w:rPr>
      <w:rFonts w:ascii="黑体" w:eastAsia="黑体"/>
      <w:sz w:val="24"/>
    </w:rPr>
  </w:style>
  <w:style w:type="paragraph" w:customStyle="1" w:styleId="66">
    <w:name w:val="表头"/>
    <w:basedOn w:val="1"/>
    <w:link w:val="65"/>
    <w:qFormat/>
    <w:uiPriority w:val="0"/>
    <w:pPr>
      <w:spacing w:line="360" w:lineRule="auto"/>
      <w:jc w:val="center"/>
    </w:pPr>
    <w:rPr>
      <w:rFonts w:ascii="黑体" w:eastAsia="黑体"/>
      <w:sz w:val="24"/>
    </w:rPr>
  </w:style>
  <w:style w:type="character" w:customStyle="1" w:styleId="67">
    <w:name w:val="样式 表图头@ + 段前: 0.5 行 Char"/>
    <w:basedOn w:val="39"/>
    <w:link w:val="68"/>
    <w:qFormat/>
    <w:uiPriority w:val="0"/>
    <w:rPr>
      <w:rFonts w:ascii="宋体" w:hAnsi="宋体" w:eastAsia="宋体" w:cs="宋体"/>
    </w:rPr>
  </w:style>
  <w:style w:type="paragraph" w:customStyle="1" w:styleId="68">
    <w:name w:val="样式 表图头@ + 段前: 0.5 行"/>
    <w:basedOn w:val="1"/>
    <w:link w:val="67"/>
    <w:qFormat/>
    <w:uiPriority w:val="0"/>
    <w:pPr>
      <w:adjustRightInd w:val="0"/>
      <w:jc w:val="center"/>
    </w:pPr>
    <w:rPr>
      <w:rFonts w:ascii="宋体" w:hAnsi="宋体" w:eastAsia="宋体" w:cs="宋体"/>
    </w:rPr>
  </w:style>
  <w:style w:type="character" w:customStyle="1" w:styleId="69">
    <w:name w:val="style5"/>
    <w:basedOn w:val="39"/>
    <w:qFormat/>
    <w:uiPriority w:val="0"/>
  </w:style>
  <w:style w:type="character" w:customStyle="1" w:styleId="70">
    <w:name w:val="正文1 Char"/>
    <w:basedOn w:val="39"/>
    <w:link w:val="26"/>
    <w:qFormat/>
    <w:uiPriority w:val="0"/>
    <w:rPr>
      <w:rFonts w:eastAsia="宋体"/>
    </w:rPr>
  </w:style>
  <w:style w:type="character" w:customStyle="1" w:styleId="71">
    <w:name w:val="样式2 Char Char"/>
    <w:basedOn w:val="39"/>
    <w:link w:val="72"/>
    <w:qFormat/>
    <w:uiPriority w:val="0"/>
    <w:rPr>
      <w:rFonts w:ascii="黑体" w:hAnsi="宋体" w:eastAsia="黑体"/>
      <w:bCs/>
      <w:sz w:val="24"/>
      <w:szCs w:val="24"/>
    </w:rPr>
  </w:style>
  <w:style w:type="paragraph" w:customStyle="1" w:styleId="72">
    <w:name w:val="样式2"/>
    <w:basedOn w:val="1"/>
    <w:link w:val="71"/>
    <w:qFormat/>
    <w:uiPriority w:val="0"/>
    <w:pPr>
      <w:spacing w:line="360" w:lineRule="auto"/>
      <w:ind w:firstLine="840" w:firstLineChars="350"/>
    </w:pPr>
    <w:rPr>
      <w:rFonts w:ascii="黑体" w:hAnsi="宋体" w:eastAsia="黑体"/>
      <w:bCs/>
      <w:sz w:val="24"/>
      <w:szCs w:val="24"/>
    </w:rPr>
  </w:style>
  <w:style w:type="character" w:customStyle="1" w:styleId="73">
    <w:name w:val="正文缩进 Char"/>
    <w:basedOn w:val="39"/>
    <w:link w:val="9"/>
    <w:qFormat/>
    <w:uiPriority w:val="0"/>
    <w:rPr>
      <w:rFonts w:eastAsia="宋体"/>
      <w:szCs w:val="24"/>
    </w:rPr>
  </w:style>
  <w:style w:type="character" w:customStyle="1" w:styleId="74">
    <w:name w:val="题注 Char"/>
    <w:basedOn w:val="39"/>
    <w:link w:val="13"/>
    <w:qFormat/>
    <w:uiPriority w:val="0"/>
    <w:rPr>
      <w:rFonts w:ascii="宋体" w:hAnsi="Arial" w:eastAsia="宋体" w:cs="Arial"/>
    </w:rPr>
  </w:style>
  <w:style w:type="character" w:customStyle="1" w:styleId="75">
    <w:name w:val="纯文本 Char"/>
    <w:qFormat/>
    <w:uiPriority w:val="0"/>
    <w:rPr>
      <w:rFonts w:ascii="宋体" w:hAnsi="Courier New" w:eastAsia="宋体"/>
      <w:kern w:val="2"/>
      <w:sz w:val="21"/>
      <w:lang w:val="en-US" w:eastAsia="zh-CN" w:bidi="ar-SA"/>
    </w:rPr>
  </w:style>
  <w:style w:type="character" w:customStyle="1" w:styleId="76">
    <w:name w:val="纯文本 Char1"/>
    <w:link w:val="19"/>
    <w:qFormat/>
    <w:uiPriority w:val="0"/>
    <w:rPr>
      <w:rFonts w:ascii="宋体" w:hAnsi="Courier New" w:eastAsia="宋体"/>
    </w:rPr>
  </w:style>
  <w:style w:type="character" w:customStyle="1" w:styleId="77">
    <w:name w:val="批注主题 Char"/>
    <w:basedOn w:val="57"/>
    <w:link w:val="35"/>
    <w:qFormat/>
    <w:uiPriority w:val="0"/>
    <w:rPr>
      <w:b/>
      <w:bCs/>
      <w:szCs w:val="24"/>
    </w:rPr>
  </w:style>
  <w:style w:type="character" w:customStyle="1" w:styleId="78">
    <w:name w:val="正文文本 3 Char"/>
    <w:basedOn w:val="39"/>
    <w:link w:val="16"/>
    <w:qFormat/>
    <w:uiPriority w:val="0"/>
    <w:rPr>
      <w:rFonts w:ascii="Times New Roman" w:hAnsi="Times New Roman" w:eastAsia="宋体" w:cs="Times New Roman"/>
      <w:sz w:val="16"/>
      <w:szCs w:val="16"/>
    </w:rPr>
  </w:style>
  <w:style w:type="character" w:customStyle="1" w:styleId="79">
    <w:name w:val="文档结构图 Char"/>
    <w:basedOn w:val="39"/>
    <w:link w:val="14"/>
    <w:semiHidden/>
    <w:qFormat/>
    <w:uiPriority w:val="0"/>
    <w:rPr>
      <w:rFonts w:ascii="Times New Roman" w:hAnsi="Times New Roman" w:eastAsia="宋体" w:cs="Times New Roman"/>
      <w:szCs w:val="24"/>
      <w:shd w:val="clear" w:color="auto" w:fill="000080"/>
    </w:rPr>
  </w:style>
  <w:style w:type="character" w:customStyle="1" w:styleId="80">
    <w:name w:val="批注文字 字符1"/>
    <w:basedOn w:val="39"/>
    <w:semiHidden/>
    <w:qFormat/>
    <w:uiPriority w:val="99"/>
  </w:style>
  <w:style w:type="character" w:customStyle="1" w:styleId="81">
    <w:name w:val="批注主题 字符1"/>
    <w:basedOn w:val="80"/>
    <w:semiHidden/>
    <w:qFormat/>
    <w:uiPriority w:val="99"/>
    <w:rPr>
      <w:b/>
      <w:bCs/>
    </w:rPr>
  </w:style>
  <w:style w:type="character" w:customStyle="1" w:styleId="82">
    <w:name w:val="正文文本 Char"/>
    <w:basedOn w:val="39"/>
    <w:link w:val="11"/>
    <w:qFormat/>
    <w:uiPriority w:val="0"/>
    <w:rPr>
      <w:rFonts w:ascii="Times New Roman" w:hAnsi="Times New Roman" w:eastAsia="宋体" w:cs="Times New Roman"/>
      <w:sz w:val="32"/>
      <w:szCs w:val="20"/>
    </w:rPr>
  </w:style>
  <w:style w:type="character" w:customStyle="1" w:styleId="83">
    <w:name w:val="正文文本缩进 Char"/>
    <w:basedOn w:val="39"/>
    <w:link w:val="3"/>
    <w:qFormat/>
    <w:uiPriority w:val="0"/>
    <w:rPr>
      <w:rFonts w:ascii="宋体" w:hAnsi="Times New Roman" w:eastAsia="宋体" w:cs="Times New Roman"/>
      <w:sz w:val="24"/>
      <w:szCs w:val="24"/>
    </w:rPr>
  </w:style>
  <w:style w:type="character" w:customStyle="1" w:styleId="84">
    <w:name w:val="纯文本 字符1"/>
    <w:basedOn w:val="39"/>
    <w:semiHidden/>
    <w:qFormat/>
    <w:uiPriority w:val="99"/>
    <w:rPr>
      <w:rFonts w:hAnsi="Courier New" w:cs="Courier New" w:asciiTheme="minorEastAsia"/>
    </w:rPr>
  </w:style>
  <w:style w:type="character" w:customStyle="1" w:styleId="85">
    <w:name w:val="正文文本缩进 3 Char"/>
    <w:basedOn w:val="39"/>
    <w:link w:val="30"/>
    <w:qFormat/>
    <w:uiPriority w:val="0"/>
    <w:rPr>
      <w:rFonts w:ascii="宋体" w:hAnsi="Times New Roman" w:eastAsia="宋体" w:cs="Times New Roman"/>
      <w:sz w:val="28"/>
      <w:szCs w:val="20"/>
    </w:rPr>
  </w:style>
  <w:style w:type="character" w:customStyle="1" w:styleId="86">
    <w:name w:val="正文文本缩进 2 Char"/>
    <w:basedOn w:val="39"/>
    <w:link w:val="21"/>
    <w:qFormat/>
    <w:uiPriority w:val="0"/>
    <w:rPr>
      <w:rFonts w:ascii="Times New Roman" w:hAnsi="Times New Roman" w:eastAsia="宋体" w:cs="Times New Roman"/>
      <w:sz w:val="28"/>
      <w:szCs w:val="20"/>
    </w:rPr>
  </w:style>
  <w:style w:type="character" w:customStyle="1" w:styleId="87">
    <w:name w:val="正文文本 2 Char"/>
    <w:basedOn w:val="39"/>
    <w:link w:val="32"/>
    <w:qFormat/>
    <w:uiPriority w:val="0"/>
    <w:rPr>
      <w:rFonts w:ascii="Times New Roman" w:hAnsi="Times New Roman" w:eastAsia="宋体" w:cs="Times New Roman"/>
      <w:szCs w:val="20"/>
    </w:rPr>
  </w:style>
  <w:style w:type="paragraph" w:customStyle="1" w:styleId="88">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9">
    <w:name w:val="CM6"/>
    <w:basedOn w:val="90"/>
    <w:next w:val="90"/>
    <w:qFormat/>
    <w:uiPriority w:val="0"/>
    <w:pPr>
      <w:spacing w:line="626" w:lineRule="atLeast"/>
    </w:pPr>
    <w:rPr>
      <w:rFonts w:hAnsi="Times New Roman" w:cs="Times New Roman"/>
      <w:color w:val="auto"/>
    </w:rPr>
  </w:style>
  <w:style w:type="paragraph" w:customStyle="1" w:styleId="90">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91">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2">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3">
    <w:name w:val="p0"/>
    <w:basedOn w:val="1"/>
    <w:qFormat/>
    <w:uiPriority w:val="0"/>
    <w:pPr>
      <w:widowControl/>
    </w:pPr>
    <w:rPr>
      <w:rFonts w:hint="eastAsia" w:ascii="Times New Roman" w:hAnsi="Times New Roman" w:eastAsia="宋体" w:cs="Times New Roman"/>
      <w:sz w:val="24"/>
      <w:szCs w:val="24"/>
    </w:rPr>
  </w:style>
  <w:style w:type="paragraph" w:customStyle="1" w:styleId="94">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5">
    <w:name w:val="CM3"/>
    <w:basedOn w:val="90"/>
    <w:next w:val="90"/>
    <w:qFormat/>
    <w:uiPriority w:val="0"/>
    <w:pPr>
      <w:spacing w:line="468" w:lineRule="atLeast"/>
    </w:pPr>
    <w:rPr>
      <w:rFonts w:hAnsi="Times New Roman" w:cs="Times New Roman"/>
      <w:color w:val="auto"/>
    </w:rPr>
  </w:style>
  <w:style w:type="paragraph" w:customStyle="1" w:styleId="96">
    <w:name w:val="CM7"/>
    <w:basedOn w:val="90"/>
    <w:next w:val="90"/>
    <w:qFormat/>
    <w:uiPriority w:val="0"/>
    <w:pPr>
      <w:spacing w:line="471" w:lineRule="atLeast"/>
    </w:pPr>
    <w:rPr>
      <w:rFonts w:hAnsi="Times New Roman" w:cs="Times New Roman"/>
      <w:color w:val="auto"/>
    </w:rPr>
  </w:style>
  <w:style w:type="paragraph" w:customStyle="1" w:styleId="97">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8">
    <w:name w:val="CM8"/>
    <w:basedOn w:val="90"/>
    <w:next w:val="90"/>
    <w:qFormat/>
    <w:uiPriority w:val="0"/>
    <w:pPr>
      <w:spacing w:line="436" w:lineRule="atLeast"/>
    </w:pPr>
    <w:rPr>
      <w:rFonts w:ascii="仿宋_GB2312" w:hAnsi="Times New Roman" w:eastAsia="仿宋_GB2312" w:cs="Times New Roman"/>
      <w:color w:val="auto"/>
    </w:rPr>
  </w:style>
  <w:style w:type="paragraph" w:customStyle="1" w:styleId="99">
    <w:name w:val="Char1"/>
    <w:basedOn w:val="1"/>
    <w:qFormat/>
    <w:uiPriority w:val="0"/>
    <w:rPr>
      <w:rFonts w:ascii="Times New Roman" w:hAnsi="Times New Roman" w:eastAsia="宋体" w:cs="Times New Roman"/>
      <w:szCs w:val="24"/>
    </w:rPr>
  </w:style>
  <w:style w:type="paragraph" w:customStyle="1" w:styleId="100">
    <w:name w:val="2.1.1"/>
    <w:basedOn w:val="1"/>
    <w:qFormat/>
    <w:uiPriority w:val="0"/>
    <w:rPr>
      <w:rFonts w:ascii="Times New Roman" w:hAnsi="Times New Roman" w:eastAsia="宋体" w:cs="Times New Roman"/>
      <w:sz w:val="24"/>
      <w:szCs w:val="24"/>
    </w:rPr>
  </w:style>
  <w:style w:type="paragraph" w:customStyle="1" w:styleId="101">
    <w:name w:val="Char Char Char Char Char Char Char"/>
    <w:basedOn w:val="1"/>
    <w:qFormat/>
    <w:uiPriority w:val="0"/>
    <w:rPr>
      <w:rFonts w:ascii="Times New Roman" w:hAnsi="Times New Roman" w:eastAsia="宋体" w:cs="Times New Roman"/>
      <w:szCs w:val="24"/>
    </w:rPr>
  </w:style>
  <w:style w:type="paragraph" w:customStyle="1" w:styleId="102">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3">
    <w:name w:val="CM112"/>
    <w:basedOn w:val="90"/>
    <w:next w:val="90"/>
    <w:qFormat/>
    <w:uiPriority w:val="0"/>
    <w:rPr>
      <w:rFonts w:ascii="仿宋_GB2312" w:hAnsi="Times New Roman" w:eastAsia="仿宋_GB2312" w:cs="Times New Roman"/>
      <w:color w:val="auto"/>
    </w:rPr>
  </w:style>
  <w:style w:type="paragraph" w:customStyle="1" w:styleId="104">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5">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6">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7">
    <w:name w:val="大田正文"/>
    <w:basedOn w:val="3"/>
    <w:qFormat/>
    <w:uiPriority w:val="0"/>
    <w:pPr>
      <w:spacing w:line="500" w:lineRule="exact"/>
      <w:ind w:firstLine="567"/>
    </w:pPr>
    <w:rPr>
      <w:sz w:val="28"/>
      <w:szCs w:val="20"/>
    </w:rPr>
  </w:style>
  <w:style w:type="paragraph" w:customStyle="1" w:styleId="108">
    <w:name w:val="CM51"/>
    <w:basedOn w:val="90"/>
    <w:next w:val="90"/>
    <w:qFormat/>
    <w:uiPriority w:val="0"/>
    <w:rPr>
      <w:rFonts w:hAnsi="Times New Roman" w:cs="Times New Roman"/>
      <w:color w:val="auto"/>
    </w:rPr>
  </w:style>
  <w:style w:type="paragraph" w:styleId="109">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10">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11">
    <w:name w:val="4"/>
    <w:basedOn w:val="1"/>
    <w:next w:val="19"/>
    <w:qFormat/>
    <w:uiPriority w:val="0"/>
    <w:rPr>
      <w:rFonts w:ascii="宋体" w:hAnsi="Courier New" w:eastAsia="宋体" w:cs="Courier New"/>
      <w:szCs w:val="21"/>
    </w:rPr>
  </w:style>
  <w:style w:type="paragraph" w:customStyle="1" w:styleId="112">
    <w:name w:val="CM5"/>
    <w:basedOn w:val="90"/>
    <w:next w:val="90"/>
    <w:qFormat/>
    <w:uiPriority w:val="0"/>
    <w:pPr>
      <w:spacing w:line="436" w:lineRule="atLeast"/>
    </w:pPr>
    <w:rPr>
      <w:rFonts w:ascii="仿宋_GB2312" w:hAnsi="Times New Roman" w:eastAsia="仿宋_GB2312" w:cs="Times New Roman"/>
      <w:color w:val="auto"/>
    </w:rPr>
  </w:style>
  <w:style w:type="paragraph" w:customStyle="1" w:styleId="113">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4">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5">
    <w:name w:val="三级标题"/>
    <w:basedOn w:val="1"/>
    <w:qFormat/>
    <w:uiPriority w:val="0"/>
    <w:pPr>
      <w:spacing w:line="360" w:lineRule="auto"/>
    </w:pPr>
    <w:rPr>
      <w:rFonts w:ascii="宋体" w:hAnsi="宋体" w:eastAsia="宋体" w:cs="Times New Roman"/>
      <w:bCs/>
      <w:sz w:val="24"/>
      <w:szCs w:val="24"/>
    </w:rPr>
  </w:style>
  <w:style w:type="paragraph" w:customStyle="1" w:styleId="116">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7">
    <w:name w:val="默认段落字体 Para Char Char Char Char"/>
    <w:basedOn w:val="1"/>
    <w:qFormat/>
    <w:uiPriority w:val="0"/>
    <w:rPr>
      <w:rFonts w:ascii="Times New Roman" w:hAnsi="Times New Roman" w:eastAsia="宋体" w:cs="Times New Roman"/>
      <w:szCs w:val="21"/>
    </w:rPr>
  </w:style>
  <w:style w:type="paragraph" w:customStyle="1" w:styleId="118">
    <w:name w:val="CM40"/>
    <w:basedOn w:val="90"/>
    <w:next w:val="90"/>
    <w:qFormat/>
    <w:uiPriority w:val="0"/>
    <w:rPr>
      <w:rFonts w:hAnsi="Times New Roman" w:cs="Times New Roman"/>
      <w:color w:val="auto"/>
    </w:rPr>
  </w:style>
  <w:style w:type="paragraph" w:customStyle="1" w:styleId="119">
    <w:name w:val="CM109"/>
    <w:basedOn w:val="90"/>
    <w:next w:val="90"/>
    <w:qFormat/>
    <w:uiPriority w:val="0"/>
    <w:rPr>
      <w:rFonts w:ascii="仿宋_GB2312" w:hAnsi="Times New Roman" w:eastAsia="仿宋_GB2312" w:cs="Times New Roman"/>
      <w:color w:val="auto"/>
    </w:rPr>
  </w:style>
  <w:style w:type="paragraph" w:customStyle="1" w:styleId="120">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21">
    <w:name w:val="TOC Heading"/>
    <w:basedOn w:val="5"/>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2">
    <w:name w:val="List Paragraph1"/>
    <w:basedOn w:val="1"/>
    <w:qFormat/>
    <w:uiPriority w:val="99"/>
    <w:pPr>
      <w:ind w:firstLine="420" w:firstLineChars="200"/>
    </w:pPr>
    <w:rPr>
      <w:rFonts w:ascii="Calibri" w:hAnsi="Calibri" w:eastAsia="宋体" w:cs="Times New Roman"/>
    </w:rPr>
  </w:style>
  <w:style w:type="table" w:customStyle="1" w:styleId="123">
    <w:name w:val="网格型1"/>
    <w:basedOn w:val="3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4">
    <w:name w:val="列出段落1"/>
    <w:basedOn w:val="1"/>
    <w:qFormat/>
    <w:uiPriority w:val="34"/>
    <w:pPr>
      <w:ind w:firstLine="420" w:firstLineChars="200"/>
    </w:pPr>
  </w:style>
  <w:style w:type="paragraph" w:customStyle="1" w:styleId="125">
    <w:name w:val="Body text|2"/>
    <w:basedOn w:val="1"/>
    <w:link w:val="127"/>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6">
    <w:name w:val="Body text|2 + Spacing 1 pt"/>
    <w:basedOn w:val="127"/>
    <w:semiHidden/>
    <w:unhideWhenUsed/>
    <w:qFormat/>
    <w:uiPriority w:val="0"/>
    <w:rPr>
      <w:color w:val="000000"/>
      <w:spacing w:val="30"/>
      <w:w w:val="100"/>
      <w:position w:val="0"/>
      <w:lang w:val="zh-CN" w:eastAsia="zh-CN" w:bidi="zh-CN"/>
    </w:rPr>
  </w:style>
  <w:style w:type="character" w:customStyle="1" w:styleId="127">
    <w:name w:val="Body text|2_"/>
    <w:basedOn w:val="39"/>
    <w:link w:val="125"/>
    <w:qFormat/>
    <w:uiPriority w:val="0"/>
    <w:rPr>
      <w:rFonts w:ascii="PMingLiU" w:hAnsi="PMingLiU" w:eastAsia="PMingLiU" w:cs="PMingLiU"/>
      <w:sz w:val="22"/>
      <w:szCs w:val="22"/>
      <w:u w:val="none"/>
    </w:rPr>
  </w:style>
  <w:style w:type="paragraph" w:customStyle="1" w:styleId="128">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30">
    <w:name w:val="表格正文"/>
    <w:basedOn w:val="1"/>
    <w:qFormat/>
    <w:uiPriority w:val="0"/>
    <w:pPr>
      <w:spacing w:line="360" w:lineRule="exact"/>
      <w:jc w:val="center"/>
    </w:pPr>
  </w:style>
  <w:style w:type="paragraph" w:customStyle="1" w:styleId="131">
    <w:name w:val="表格1"/>
    <w:basedOn w:val="9"/>
    <w:next w:val="9"/>
    <w:qFormat/>
    <w:uiPriority w:val="0"/>
    <w:pPr>
      <w:adjustRightInd w:val="0"/>
      <w:snapToGrid w:val="0"/>
      <w:spacing w:line="340" w:lineRule="exact"/>
      <w:ind w:firstLine="0" w:firstLineChars="0"/>
      <w:jc w:val="center"/>
    </w:pPr>
    <w:rPr>
      <w:szCs w:val="20"/>
    </w:rPr>
  </w:style>
  <w:style w:type="paragraph" w:customStyle="1" w:styleId="132">
    <w:name w:val="Table Paragraph"/>
    <w:basedOn w:val="1"/>
    <w:qFormat/>
    <w:uiPriority w:val="1"/>
    <w:rPr>
      <w:rFonts w:ascii="宋体" w:hAnsi="宋体" w:eastAsia="宋体" w:cs="宋体"/>
      <w:lang w:val="zh-CN" w:eastAsia="zh-CN" w:bidi="zh-CN"/>
    </w:rPr>
  </w:style>
  <w:style w:type="paragraph" w:customStyle="1" w:styleId="133">
    <w:name w:val="书正文"/>
    <w:basedOn w:val="1"/>
    <w:qFormat/>
    <w:uiPriority w:val="0"/>
    <w:pPr>
      <w:spacing w:line="500" w:lineRule="exact"/>
      <w:ind w:firstLine="640" w:firstLineChars="200"/>
    </w:pPr>
  </w:style>
  <w:style w:type="paragraph" w:customStyle="1" w:styleId="134">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5">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6">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7">
    <w:name w:val="表内容"/>
    <w:basedOn w:val="1"/>
    <w:next w:val="1"/>
    <w:qFormat/>
    <w:uiPriority w:val="9"/>
    <w:pPr>
      <w:spacing w:line="360" w:lineRule="exact"/>
      <w:jc w:val="center"/>
    </w:pPr>
    <w:rPr>
      <w:color w:val="auto"/>
      <w:sz w:val="21"/>
      <w:szCs w:val="21"/>
    </w:rPr>
  </w:style>
  <w:style w:type="paragraph" w:customStyle="1" w:styleId="138">
    <w:name w:val="表格"/>
    <w:basedOn w:val="1"/>
    <w:next w:val="1"/>
    <w:qFormat/>
    <w:uiPriority w:val="0"/>
    <w:pPr>
      <w:adjustRightInd w:val="0"/>
      <w:spacing w:line="400" w:lineRule="atLeast"/>
      <w:jc w:val="center"/>
    </w:pPr>
    <w:rPr>
      <w:kern w:val="0"/>
      <w:sz w:val="24"/>
    </w:rPr>
  </w:style>
  <w:style w:type="character" w:customStyle="1" w:styleId="139">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8"/>
    <customShpInfo spid="_x0000_s120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20</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2022-06-04T10:59:40Z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9B200A8DC33E4EA4A006D710A02ED23C</vt:lpwstr>
  </property>
</Properties>
</file>