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HJSCFJZCLYXGS001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河间市诚芳建筑材料有限公司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砂石骨料生产线技改项目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河间市诚芳建筑材料有限公司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河间市诚芳建筑材料有限公司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21</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07</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6"/>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6"/>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6"/>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6"/>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6"/>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6"/>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4.1建设项目环评报告</w:t>
          </w:r>
          <w:r>
            <w:rPr>
              <w:rStyle w:val="36"/>
              <w:rFonts w:hint="eastAsia" w:ascii="Times New Roman" w:hAnsi="Times New Roman" w:eastAsia="宋体" w:cs="Times New Roman"/>
              <w:sz w:val="24"/>
              <w:szCs w:val="24"/>
              <w:lang w:val="en-US" w:eastAsia="zh-CN"/>
            </w:rPr>
            <w:t>表</w:t>
          </w:r>
          <w:r>
            <w:rPr>
              <w:rStyle w:val="36"/>
              <w:rFonts w:hint="default" w:ascii="Times New Roman" w:hAnsi="Times New Roman" w:eastAsia="宋体" w:cs="Times New Roman"/>
              <w:sz w:val="24"/>
              <w:szCs w:val="24"/>
            </w:rPr>
            <w:t>的主要结论</w:t>
          </w:r>
          <w:r>
            <w:rPr>
              <w:rStyle w:val="36"/>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6"/>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6"/>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6"/>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6"/>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6"/>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6"/>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6"/>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bookmarkStart w:id="128" w:name="_GoBack"/>
      <w:bookmarkEnd w:id="128"/>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河间市诚芳建筑材料有限公司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沧州市河间市兴村镇李胡村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200万元建设砂石骨料生产线技改项目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2022年05月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河间市诚芳建筑材料有限公司砂石骨料生产线技改项目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2022年06月10日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河环表[2022]（06-12）号。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河间市诚芳建筑材料有限公司砂石骨料生产线技改项目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河间市诚芳建筑材料有限公司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2022年06月30日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2022年07月01日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河间市诚芳建筑材料有限公司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《大气污染物综合排放标准》（GB16297-1996）；</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河间市诚芳建筑材料有限公司砂石骨料生产线技改项目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2022年05月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河间市诚芳建筑材料有限公司砂石骨料生产线技改项目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河环表[2022]（06-12）号，2022年06月10日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砂石骨料生产线技改项目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河间市诚芳建筑材料有限公司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牛英辉</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杨四爱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沧州市河间市兴村镇李胡村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13582710613</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技改</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C3039其他建筑材料制造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沧州市河间市兴村镇李胡村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2.5</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504325325"/>
      <w:bookmarkStart w:id="15" w:name="_Toc496979001"/>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沧州市河间市兴村镇李胡村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01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49.100</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29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1.220</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6979002"/>
      <w:bookmarkStart w:id="18" w:name="_Toc497001438"/>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技改完成后年产砂石骨料60万吨(原产能不变)</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widowControl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矿山石材</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万t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0"/>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环保工程内容</w:t>
            </w:r>
          </w:p>
        </w:tc>
        <w:tc>
          <w:tcPr>
            <w:tcW w:w="1632" w:type="dxa"/>
            <w:noWrap w:val="0"/>
            <w:vAlign w:val="center"/>
          </w:tcPr>
          <w:p>
            <w:pPr>
              <w:pStyle w:val="1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废气</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破碎工序、</w:t>
            </w:r>
            <w:r>
              <w:rPr>
                <w:rFonts w:hint="default" w:ascii="Times New Roman" w:hAnsi="Times New Roman" w:eastAsia="宋体" w:cs="Times New Roman"/>
                <w:color w:val="000000"/>
                <w:sz w:val="21"/>
                <w:szCs w:val="21"/>
                <w:lang w:val="en-US" w:eastAsia="zh-CN"/>
              </w:rPr>
              <w:t>输送带与设备连接处废气</w:t>
            </w:r>
            <w:r>
              <w:rPr>
                <w:rFonts w:hint="default" w:ascii="Times New Roman" w:hAnsi="Times New Roman" w:eastAsia="宋体" w:cs="Times New Roman"/>
                <w:sz w:val="21"/>
                <w:szCs w:val="21"/>
                <w:lang w:val="en-US" w:eastAsia="zh-CN"/>
              </w:rPr>
              <w:t>经集气罩+软帘收集后，并入现有工程脉冲式布袋除尘器处理，再经1根15m高排气筒DA001排放；筛分工序、</w:t>
            </w:r>
            <w:r>
              <w:rPr>
                <w:rFonts w:hint="default" w:ascii="Times New Roman" w:hAnsi="Times New Roman" w:eastAsia="宋体" w:cs="Times New Roman"/>
                <w:color w:val="000000"/>
                <w:sz w:val="21"/>
                <w:szCs w:val="21"/>
                <w:lang w:val="en-US" w:eastAsia="zh-CN"/>
              </w:rPr>
              <w:t>输送带与设备连接处废气</w:t>
            </w:r>
            <w:r>
              <w:rPr>
                <w:rFonts w:hint="default" w:ascii="Times New Roman" w:hAnsi="Times New Roman" w:eastAsia="宋体" w:cs="Times New Roman"/>
                <w:sz w:val="21"/>
                <w:szCs w:val="21"/>
                <w:lang w:val="en-US" w:eastAsia="zh-CN"/>
              </w:rPr>
              <w:t>经集气罩+软帘收集后，并入现有工程脉冲式布袋除尘器处理，再经1根15m高排气筒DA002排放。无组织废气治理措施：输送带传送过程密闭，车间密闭，车间及库房安装喷淋装置。</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废水</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本项目无废水产生，职工不新增，因此，无新增职工生活污水。</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噪声</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生产设备采取选用低噪声设备、基础减振、厂房隔声等降噪措施</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固废</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破碎、筛分工序产生的边角料，布袋除尘灰全部回用于生产</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防渗</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生产车间</w:t>
            </w:r>
            <w:r>
              <w:rPr>
                <w:rFonts w:hint="default" w:ascii="Times New Roman" w:hAnsi="Times New Roman" w:eastAsia="宋体" w:cs="Times New Roman"/>
                <w:sz w:val="21"/>
                <w:szCs w:val="21"/>
                <w:lang w:val="en-US" w:eastAsia="zh-CN"/>
              </w:rPr>
              <w:t>及库房</w:t>
            </w:r>
            <w:r>
              <w:rPr>
                <w:rFonts w:hint="default" w:ascii="Times New Roman" w:hAnsi="Times New Roman" w:eastAsia="宋体" w:cs="Times New Roman"/>
                <w:sz w:val="21"/>
                <w:szCs w:val="21"/>
              </w:rPr>
              <w:t>已采用硬化处理，应加强防渗措施日常维护，</w:t>
            </w:r>
            <w:r>
              <w:rPr>
                <w:rFonts w:hint="default" w:ascii="Times New Roman" w:hAnsi="Times New Roman" w:eastAsia="宋体" w:cs="Times New Roman"/>
                <w:sz w:val="21"/>
                <w:szCs w:val="21"/>
                <w:lang w:eastAsia="zh-CN"/>
              </w:rPr>
              <w:t>使防渗措施达到</w:t>
            </w:r>
            <w:r>
              <w:rPr>
                <w:rFonts w:hint="default" w:ascii="Times New Roman" w:hAnsi="Times New Roman" w:eastAsia="宋体" w:cs="Times New Roman"/>
                <w:sz w:val="21"/>
                <w:szCs w:val="21"/>
              </w:rPr>
              <w:t>渗透系数</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vertAlign w:val="superscript"/>
                <w:lang w:val="en-US" w:eastAsia="zh-CN"/>
              </w:rPr>
              <w:t>7</w:t>
            </w:r>
            <w:r>
              <w:rPr>
                <w:rFonts w:hint="default" w:ascii="Times New Roman" w:hAnsi="Times New Roman" w:eastAsia="宋体" w:cs="Times New Roman"/>
                <w:sz w:val="21"/>
                <w:szCs w:val="21"/>
              </w:rPr>
              <w:t>cm/s的要求</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pStyle w:val="6"/>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0"/>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给料机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FH1245/22KW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颚式破碎机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PE900*1200/130KW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多缸</w:t>
            </w:r>
            <w:r>
              <w:rPr>
                <w:rFonts w:hint="default" w:ascii="Times New Roman" w:hAnsi="Times New Roman" w:eastAsia="宋体" w:cs="Times New Roman"/>
                <w:color w:val="000000"/>
                <w:sz w:val="21"/>
                <w:szCs w:val="21"/>
                <w:lang w:val="en-US" w:eastAsia="zh-CN"/>
              </w:rPr>
              <w:t>圆锥破碎机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HPT500/400KW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高效离心式冲击破</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5X9532/2*160KW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default" w:ascii="Times New Roman" w:hAnsi="Times New Roman" w:eastAsia="宋体" w:cs="Times New Roman"/>
                <w:kern w:val="0"/>
                <w:sz w:val="21"/>
                <w:szCs w:val="21"/>
                <w:lang w:val="en-US" w:eastAsia="zh-CN"/>
              </w:rPr>
              <w:t>5</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振动筛</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3YK3*2675/45KW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振动筛</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S5*2760-3/37KW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7</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输送皮带</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1200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8</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输送皮带</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1000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输送皮带</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800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铲车</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高效离心式冲击破</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5X9532/2*180KW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高效自动振动筛</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3YK3*2675/50W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r>
    </w:tbl>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170180</wp:posOffset>
            </wp:positionH>
            <wp:positionV relativeFrom="paragraph">
              <wp:posOffset>79375</wp:posOffset>
            </wp:positionV>
            <wp:extent cx="5266055" cy="1123315"/>
            <wp:effectExtent l="0" t="0" r="10795"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6055" cy="1123315"/>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原材料为矿山石材，原料进厂后进入给料机，经颚式破碎机破碎后经输送带送至钢架缓冲仓暂存，再经输送带送至多缸圆锥破碎机破碎，破碎后通过输送带送至1号振动筛进行筛分，筛分出的2-3石料(粒径20-30mm)通过输送带输送至成品库房。剩余石料通过输送带送至高位料仓暂存，再通过输送带送至高效离心式冲击破，破碎后通过输送带送至2号振动筛进行筛分，筛分出的1-2石料(粒径10-20mm)通过输送带输送至成品库房。以上为现有工程工艺叙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针对现有机制砂产品进行优化，将5mm以下产品进行再次分类，利用新购的高效离心式冲击破和高效自动振动筛进一步加工。筛分出1-2石料后的剩余料，再经高效离心式冲击破进一步破碎，破碎后利用高效自动振动筛进行筛分，一次筛分后筛分出0.5-1石料(粒径5-10mm)，二次级别筛分后筛分出0.3-0.5石料(粒径3-5mm)、机制砂(粒径3mm及以下)，分别经输送带输送至成品库房。本次技改项目仅涉及优化产品种类和质量后续的破碎和筛分。</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项目成品库房内分置不同粒径产品的储存区，所有输送带均进行密闭。</w:t>
      </w:r>
    </w:p>
    <w:p>
      <w:pPr>
        <w:rPr>
          <w:rFonts w:hint="default" w:ascii="Times New Roman" w:hAnsi="Times New Roman" w:cs="Times New Roman"/>
        </w:rPr>
      </w:pPr>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150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每天两班，每班10小时</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504325335"/>
      <w:bookmarkStart w:id="28" w:name="_Toc496979011"/>
      <w:bookmarkStart w:id="29" w:name="_Toc497001447"/>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排水：现有工程无生产废水，职工生活污水全部用于厂区泼洒抑尘，不外排。本项目无废水产生，职工不新增，因此，无新增职工生活污水</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6979012"/>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依托现有工程供电设施</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于2022年05月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2022年06月10日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河环表[2022]（06-12）号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200万元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0"/>
        <w:tblW w:w="94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502"/>
        <w:gridCol w:w="1304"/>
        <w:gridCol w:w="1766"/>
        <w:gridCol w:w="2536"/>
        <w:gridCol w:w="8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99" w:type="dxa"/>
            <w:tcBorders>
              <w:tl2br w:val="single" w:color="auto" w:sz="4" w:space="0"/>
            </w:tcBorders>
            <w:noWrap w:val="0"/>
            <w:vAlign w:val="top"/>
          </w:tcPr>
          <w:p>
            <w:pPr>
              <w:adjustRightInd w:val="0"/>
              <w:snapToGrid w:val="0"/>
              <w:spacing w:line="360" w:lineRule="auto"/>
              <w:ind w:firstLine="630" w:firstLineChars="3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内容</w:t>
            </w:r>
          </w:p>
          <w:p>
            <w:pPr>
              <w:adjustRightInd w:val="0"/>
              <w:snapToGrid w:val="0"/>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要素</w:t>
            </w:r>
          </w:p>
        </w:tc>
        <w:tc>
          <w:tcPr>
            <w:tcW w:w="1502"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排放口(编号、</w:t>
            </w:r>
          </w:p>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名称)/污染源</w:t>
            </w:r>
          </w:p>
        </w:tc>
        <w:tc>
          <w:tcPr>
            <w:tcW w:w="1304"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污染物项目</w:t>
            </w:r>
          </w:p>
        </w:tc>
        <w:tc>
          <w:tcPr>
            <w:tcW w:w="1766"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环境保护措施</w:t>
            </w:r>
          </w:p>
        </w:tc>
        <w:tc>
          <w:tcPr>
            <w:tcW w:w="2536"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执行标准</w:t>
            </w:r>
          </w:p>
        </w:tc>
        <w:tc>
          <w:tcPr>
            <w:tcW w:w="861" w:type="dxa"/>
            <w:noWrap w:val="0"/>
            <w:vAlign w:val="center"/>
          </w:tcPr>
          <w:p>
            <w:pPr>
              <w:adjustRightInd w:val="0"/>
              <w:snapToGrid w:val="0"/>
              <w:spacing w:line="360" w:lineRule="auto"/>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color w:val="000000"/>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499" w:type="dxa"/>
            <w:vMerge w:val="restart"/>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大气环境</w:t>
            </w:r>
          </w:p>
        </w:tc>
        <w:tc>
          <w:tcPr>
            <w:tcW w:w="15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sz w:val="21"/>
                <w:szCs w:val="21"/>
                <w:lang w:val="en-US" w:eastAsia="zh-CN"/>
              </w:rPr>
              <w:t>破碎工序、输送带与设备连接处废气</w:t>
            </w:r>
            <w:r>
              <w:rPr>
                <w:rFonts w:hint="default" w:ascii="Times New Roman" w:hAnsi="Times New Roman" w:eastAsia="宋体" w:cs="Times New Roman"/>
                <w:color w:val="000000"/>
                <w:sz w:val="21"/>
                <w:szCs w:val="21"/>
              </w:rPr>
              <w:t>排气筒</w:t>
            </w:r>
            <w:r>
              <w:rPr>
                <w:rFonts w:hint="default" w:ascii="Times New Roman" w:hAnsi="Times New Roman" w:eastAsia="宋体" w:cs="Times New Roman"/>
                <w:color w:val="000000"/>
                <w:sz w:val="21"/>
                <w:szCs w:val="21"/>
                <w:lang w:val="en-US" w:eastAsia="zh-CN"/>
              </w:rPr>
              <w:t>/DA001</w:t>
            </w:r>
          </w:p>
        </w:tc>
        <w:tc>
          <w:tcPr>
            <w:tcW w:w="1304" w:type="dxa"/>
            <w:noWrap w:val="0"/>
            <w:vAlign w:val="center"/>
          </w:tcPr>
          <w:p>
            <w:pPr>
              <w:pStyle w:val="132"/>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颗粒物</w:t>
            </w:r>
          </w:p>
        </w:tc>
        <w:tc>
          <w:tcPr>
            <w:tcW w:w="1766" w:type="dxa"/>
            <w:noWrap w:val="0"/>
            <w:vAlign w:val="center"/>
          </w:tcPr>
          <w:p>
            <w:pPr>
              <w:adjustRightInd w:val="0"/>
              <w:snapToGrid w:val="0"/>
              <w:spacing w:line="36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经集气罩+软帘收集后，并入现有工程脉冲式布袋除尘器处理，再经1根15m高排气筒DA001排放</w:t>
            </w:r>
          </w:p>
        </w:tc>
        <w:tc>
          <w:tcPr>
            <w:tcW w:w="25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highlight w:val="none"/>
                <w:lang w:val="en-US" w:eastAsia="zh-CN"/>
              </w:rPr>
              <w:t>《大气污染物综合排放标准》（GB16297-1996）表2二级标准</w:t>
            </w: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9" w:type="dxa"/>
            <w:vMerge w:val="continue"/>
            <w:noWrap w:val="0"/>
            <w:vAlign w:val="center"/>
          </w:tcPr>
          <w:p>
            <w:pPr>
              <w:adjustRightInd w:val="0"/>
              <w:snapToGrid w:val="0"/>
              <w:spacing w:line="360" w:lineRule="auto"/>
              <w:jc w:val="center"/>
              <w:rPr>
                <w:rFonts w:hint="default" w:ascii="Times New Roman" w:hAnsi="Times New Roman" w:cs="Times New Roman"/>
                <w:color w:val="000000"/>
                <w:sz w:val="21"/>
                <w:szCs w:val="21"/>
              </w:rPr>
            </w:pPr>
          </w:p>
        </w:tc>
        <w:tc>
          <w:tcPr>
            <w:tcW w:w="15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筛分工序、输送带与设备连接处废气</w:t>
            </w:r>
            <w:r>
              <w:rPr>
                <w:rFonts w:hint="default" w:ascii="Times New Roman" w:hAnsi="Times New Roman" w:eastAsia="宋体" w:cs="Times New Roman"/>
                <w:color w:val="000000"/>
                <w:sz w:val="21"/>
                <w:szCs w:val="21"/>
              </w:rPr>
              <w:t>排气筒</w:t>
            </w:r>
            <w:r>
              <w:rPr>
                <w:rFonts w:hint="default" w:ascii="Times New Roman" w:hAnsi="Times New Roman" w:eastAsia="宋体" w:cs="Times New Roman"/>
                <w:color w:val="000000"/>
                <w:sz w:val="21"/>
                <w:szCs w:val="21"/>
                <w:lang w:val="en-US" w:eastAsia="zh-CN"/>
              </w:rPr>
              <w:t>/DA002</w:t>
            </w:r>
          </w:p>
        </w:tc>
        <w:tc>
          <w:tcPr>
            <w:tcW w:w="1304" w:type="dxa"/>
            <w:noWrap w:val="0"/>
            <w:vAlign w:val="center"/>
          </w:tcPr>
          <w:p>
            <w:pPr>
              <w:pStyle w:val="132"/>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颗粒物</w:t>
            </w:r>
          </w:p>
        </w:tc>
        <w:tc>
          <w:tcPr>
            <w:tcW w:w="1766" w:type="dxa"/>
            <w:noWrap w:val="0"/>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经集气罩+软帘收集后，并入现有工程脉冲式布袋除尘器处理，再经1根15m高排气筒DA002排放</w:t>
            </w:r>
          </w:p>
        </w:tc>
        <w:tc>
          <w:tcPr>
            <w:tcW w:w="25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r>
              <w:rPr>
                <w:rFonts w:hint="eastAsia" w:ascii="Times New Roman" w:hAnsi="Times New Roman" w:eastAsia="宋体" w:cs="Times New Roman"/>
                <w:color w:val="000000"/>
                <w:kern w:val="0"/>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499" w:type="dxa"/>
            <w:vMerge w:val="continue"/>
            <w:noWrap w:val="0"/>
            <w:vAlign w:val="center"/>
          </w:tcPr>
          <w:p>
            <w:pPr>
              <w:adjustRightInd w:val="0"/>
              <w:snapToGrid w:val="0"/>
              <w:spacing w:line="360" w:lineRule="auto"/>
              <w:jc w:val="center"/>
              <w:rPr>
                <w:rFonts w:hint="default" w:ascii="Times New Roman" w:hAnsi="Times New Roman" w:cs="Times New Roman"/>
                <w:color w:val="000000"/>
                <w:sz w:val="21"/>
                <w:szCs w:val="21"/>
              </w:rPr>
            </w:pPr>
          </w:p>
        </w:tc>
        <w:tc>
          <w:tcPr>
            <w:tcW w:w="1502" w:type="dxa"/>
            <w:noWrap w:val="0"/>
            <w:vAlign w:val="center"/>
          </w:tcPr>
          <w:p>
            <w:pPr>
              <w:adjustRightInd w:val="0"/>
              <w:snapToGrid w:val="0"/>
              <w:spacing w:line="36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生产车间无组织废气</w:t>
            </w:r>
          </w:p>
        </w:tc>
        <w:tc>
          <w:tcPr>
            <w:tcW w:w="1304" w:type="dxa"/>
            <w:noWrap w:val="0"/>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颗粒物</w:t>
            </w:r>
          </w:p>
        </w:tc>
        <w:tc>
          <w:tcPr>
            <w:tcW w:w="1766" w:type="dxa"/>
            <w:noWrap w:val="0"/>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2"/>
                <w:sz w:val="21"/>
                <w:szCs w:val="21"/>
                <w:lang w:val="en-US" w:eastAsia="zh-CN" w:bidi="ar-SA"/>
              </w:rPr>
              <w:t>输送带传送过程密闭，车间密闭，安装喷淋装置</w:t>
            </w:r>
          </w:p>
        </w:tc>
        <w:tc>
          <w:tcPr>
            <w:tcW w:w="2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《大气污染物综合排放标准》(GB16297-1996)表2无组织排放监控浓度限值</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sz w:val="21"/>
                <w:szCs w:val="21"/>
                <w:lang w:val="en-US" w:eastAsia="zh-CN"/>
              </w:rPr>
              <w:t>要求</w:t>
            </w: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0"/>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499"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声环境</w:t>
            </w:r>
          </w:p>
        </w:tc>
        <w:tc>
          <w:tcPr>
            <w:tcW w:w="15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设备噪声</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等效连续</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A声级</w:t>
            </w:r>
          </w:p>
        </w:tc>
        <w:tc>
          <w:tcPr>
            <w:tcW w:w="17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厂房隔声</w:t>
            </w:r>
          </w:p>
        </w:tc>
        <w:tc>
          <w:tcPr>
            <w:tcW w:w="2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《工业企业厂界环境噪声排放标准》(GB12348-2008)中2和4类功能区标准排放限值</w:t>
            </w: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eastAsia="宋体" w:cs="Times New Roman"/>
                <w:color w:val="000000"/>
                <w:kern w:val="0"/>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99"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固体废物</w:t>
            </w:r>
          </w:p>
        </w:tc>
        <w:tc>
          <w:tcPr>
            <w:tcW w:w="710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sz w:val="21"/>
                <w:szCs w:val="21"/>
                <w:lang w:val="en-US" w:eastAsia="zh-CN"/>
              </w:rPr>
              <w:t>破碎、筛分工序产生的边角料、布袋除尘灰回用于生产</w:t>
            </w:r>
            <w:r>
              <w:rPr>
                <w:rFonts w:hint="default" w:ascii="Times New Roman" w:hAnsi="Times New Roman" w:cs="Times New Roman"/>
                <w:color w:val="000000"/>
                <w:sz w:val="21"/>
                <w:szCs w:val="21"/>
                <w:lang w:val="en-US" w:eastAsia="zh-CN"/>
              </w:rPr>
              <w:t>；</w:t>
            </w: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0"/>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499" w:type="dxa"/>
            <w:noWrap w:val="0"/>
            <w:vAlign w:val="center"/>
          </w:tcPr>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土壤及地下水</w:t>
            </w:r>
          </w:p>
          <w:p>
            <w:pPr>
              <w:adjustRightInd w:val="0"/>
              <w:snapToGrid w:val="0"/>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污染防治措施</w:t>
            </w:r>
          </w:p>
        </w:tc>
        <w:tc>
          <w:tcPr>
            <w:tcW w:w="710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highlight w:val="none"/>
              </w:rPr>
              <w:t>一般防渗区：</w:t>
            </w:r>
            <w:r>
              <w:rPr>
                <w:rFonts w:hint="default" w:ascii="Times New Roman" w:hAnsi="Times New Roman" w:cs="Times New Roman"/>
                <w:color w:val="000000"/>
                <w:sz w:val="21"/>
                <w:szCs w:val="21"/>
                <w:highlight w:val="none"/>
                <w:lang w:eastAsia="zh-CN"/>
              </w:rPr>
              <w:t>生产车间</w:t>
            </w:r>
            <w:r>
              <w:rPr>
                <w:rFonts w:hint="default" w:ascii="Times New Roman" w:hAnsi="Times New Roman" w:cs="Times New Roman"/>
                <w:color w:val="000000"/>
                <w:sz w:val="21"/>
                <w:szCs w:val="21"/>
                <w:highlight w:val="none"/>
                <w:lang w:val="en-US" w:eastAsia="zh-CN"/>
              </w:rPr>
              <w:t>和库房已</w:t>
            </w:r>
            <w:r>
              <w:rPr>
                <w:rFonts w:hint="default" w:ascii="Times New Roman" w:hAnsi="Times New Roman" w:cs="Times New Roman"/>
                <w:color w:val="000000"/>
                <w:sz w:val="21"/>
                <w:szCs w:val="21"/>
                <w:highlight w:val="none"/>
              </w:rPr>
              <w:t>采用地面硬化处理，应加强防渗措施日常维护，达到渗透系数</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10</w:t>
            </w:r>
            <w:r>
              <w:rPr>
                <w:rFonts w:hint="default" w:ascii="Times New Roman" w:hAnsi="Times New Roman" w:cs="Times New Roman"/>
                <w:color w:val="000000"/>
                <w:sz w:val="21"/>
                <w:szCs w:val="21"/>
                <w:highlight w:val="none"/>
                <w:vertAlign w:val="superscript"/>
              </w:rPr>
              <w:t>-</w:t>
            </w:r>
            <w:r>
              <w:rPr>
                <w:rFonts w:hint="default" w:ascii="Times New Roman" w:hAnsi="Times New Roman" w:cs="Times New Roman"/>
                <w:color w:val="000000"/>
                <w:sz w:val="21"/>
                <w:szCs w:val="21"/>
                <w:highlight w:val="none"/>
                <w:vertAlign w:val="superscript"/>
                <w:lang w:val="en-US" w:eastAsia="zh-CN"/>
              </w:rPr>
              <w:t>7</w:t>
            </w:r>
            <w:r>
              <w:rPr>
                <w:rFonts w:hint="default" w:ascii="Times New Roman" w:hAnsi="Times New Roman" w:cs="Times New Roman"/>
                <w:color w:val="000000"/>
                <w:sz w:val="21"/>
                <w:szCs w:val="21"/>
                <w:highlight w:val="none"/>
              </w:rPr>
              <w:t>cm/s的要求。</w:t>
            </w: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eastAsiaTheme="minorEastAsia"/>
                <w:color w:val="000000"/>
                <w:sz w:val="21"/>
                <w:szCs w:val="21"/>
                <w:highlight w:val="none"/>
                <w:lang w:eastAsia="zh-CN"/>
              </w:rPr>
            </w:pPr>
            <w:r>
              <w:rPr>
                <w:rFonts w:hint="eastAsia" w:ascii="Times New Roman" w:hAnsi="Times New Roman" w:cs="Times New Roman"/>
                <w:color w:val="000000"/>
                <w:sz w:val="21"/>
                <w:szCs w:val="21"/>
                <w:highlight w:val="none"/>
                <w:lang w:eastAsia="zh-CN"/>
              </w:rPr>
              <w:t>已做硬化及防渗处理</w:t>
            </w:r>
          </w:p>
        </w:tc>
      </w:tr>
    </w:tbl>
    <w:p>
      <w:pPr>
        <w:widowControl/>
        <w:spacing w:beforeLines="50"/>
        <w:ind w:firstLine="142" w:firstLineChars="59"/>
        <w:jc w:val="center"/>
        <w:rPr>
          <w:rFonts w:hint="default" w:ascii="Times New Roman" w:hAnsi="Times New Roman" w:eastAsia="宋体" w:cs="Times New Roman"/>
          <w:b/>
          <w:sz w:val="24"/>
          <w:szCs w:val="24"/>
        </w:rPr>
      </w:pPr>
    </w:p>
    <w:p>
      <w:pPr>
        <w:widowControl/>
        <w:spacing w:beforeLines="50"/>
        <w:ind w:firstLine="142" w:firstLineChars="59"/>
        <w:jc w:val="center"/>
        <w:rPr>
          <w:rFonts w:hint="default" w:ascii="Times New Roman" w:hAnsi="Times New Roman" w:eastAsia="宋体" w:cs="Times New Roman"/>
          <w:b/>
          <w:sz w:val="24"/>
          <w:szCs w:val="24"/>
        </w:rPr>
      </w:pPr>
    </w:p>
    <w:p>
      <w:pPr>
        <w:rPr>
          <w:rFonts w:hint="default" w:ascii="Times New Roman" w:hAnsi="Times New Roman" w:cs="Times New Roman"/>
        </w:rPr>
      </w:pPr>
      <w:bookmarkStart w:id="38" w:name="_Toc504325342"/>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沧州市河间市兴村镇李胡村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现有工程无生产废水，职工生活污水全部用于厂区泼洒抑尘，不外排。本项目无废水产生，职工不新增，因此，无新增职工生活污水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val="en-US" w:eastAsia="zh-CN"/>
        </w:rPr>
        <w:t>破碎工序、输送带与设备连接处废气经集气罩+软帘收集后，并入现有工程脉冲式布袋除尘器处理，再经1根15m高排气筒DA001排放；筛分工序、输送带与设备连接处废气经集气罩+软帘收集后，并入现有工程脉冲式布袋除尘器处理，再经1根15m高排气筒DA002排放，</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496979024"/>
      <w:bookmarkStart w:id="43" w:name="_Toc504325346"/>
      <w:bookmarkStart w:id="44" w:name="_Toc497001461"/>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项目无新增生产和生活污水。</w:t>
      </w:r>
    </w:p>
    <w:p>
      <w:pPr>
        <w:pStyle w:val="6"/>
        <w:rPr>
          <w:rFonts w:hint="default" w:ascii="Times New Roman" w:hAnsi="Times New Roman" w:cs="Times New Roman"/>
        </w:rPr>
      </w:pPr>
      <w:bookmarkStart w:id="45" w:name="_Toc504325347"/>
      <w:bookmarkStart w:id="46" w:name="_Toc496979025"/>
      <w:bookmarkStart w:id="47" w:name="_Toc497001462"/>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破碎工序、输送带与设备连接处废气经集气罩+软帘收集后，并入现有工程脉冲式布袋除尘器处理，再经1根15m高排气筒DA001排放；筛分工序、输送带与设备连接处废气经集气罩+软帘收集后，并入现有工程脉冲式布袋除尘器处理，再经1根15m高排气筒DA002排放</w:t>
      </w:r>
      <w:r>
        <w:rPr>
          <w:rFonts w:hint="default"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8" w:name="_Toc497001463"/>
      <w:bookmarkStart w:id="49" w:name="_Toc504325348"/>
      <w:bookmarkStart w:id="50" w:name="_Toc496979026"/>
      <w:r>
        <w:rPr>
          <w:rFonts w:hint="default" w:ascii="Times New Roman" w:hAnsi="Times New Roman" w:cs="Times New Roman"/>
        </w:rPr>
        <w:t>3.2.3噪声</w:t>
      </w:r>
      <w:bookmarkEnd w:id="48"/>
      <w:bookmarkEnd w:id="49"/>
      <w:bookmarkEnd w:id="50"/>
    </w:p>
    <w:p>
      <w:pPr>
        <w:pStyle w:val="58"/>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项目主要噪声源为高效离心式冲击破和高效自动振动筛等生产设备，项目采取选用低噪声设备、基础减振，厂房隔声等降噪措施后，排入周边环境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85"/>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项目产生固体废物为破碎、筛分工序产生的边角料、布袋除尘灰。</w:t>
      </w:r>
    </w:p>
    <w:p>
      <w:pPr>
        <w:pStyle w:val="85"/>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技改项目完成后，全厂破碎、筛分工序产生的边角料、布袋除尘灰回用于生产</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6979030"/>
      <w:bookmarkStart w:id="58" w:name="_Toc504325353"/>
      <w:bookmarkStart w:id="59" w:name="_Toc497001467"/>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6979031"/>
      <w:bookmarkStart w:id="61" w:name="_Toc504325354"/>
      <w:bookmarkStart w:id="62" w:name="_Toc497001468"/>
      <w:r>
        <w:rPr>
          <w:rFonts w:hint="default" w:ascii="Times New Roman" w:hAnsi="Times New Roman" w:eastAsia="宋体" w:cs="Times New Roman"/>
          <w:sz w:val="24"/>
          <w:szCs w:val="24"/>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60"/>
    <w:bookmarkEnd w:id="61"/>
    <w:bookmarkEnd w:id="62"/>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2022年06月10日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河环表[2022]（06-12）号。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河间市诚芳建筑材料有限公司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沧州市河间市兴村镇李胡村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val="en-US" w:eastAsia="zh-CN"/>
                <w14:textFill>
                  <w14:solidFill>
                    <w14:schemeClr w14:val="tx1"/>
                  </w14:solidFill>
                </w14:textFill>
              </w:rPr>
              <w:t>破碎工序、筛分工序、输送带与设备连接处废气经集气罩+软帘收集后，并入现有工程脉冲式布袋除尘器处理，颗粒物要达到《大气污染物综合排放标准》（GB 16297-1996）表2二级标准及无组织排放监控浓度限值要求。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2、4类标准要求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5"/>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6"/>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6979036"/>
      <w:bookmarkStart w:id="72"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《大气污染物综合排放标准》（GB16297-1996）表2新污染源大气污染物排放限值二级标准、无组织排放监控浓度限值要求。</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0"/>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筛分工序、输送带与设备连接处废气排气筒出口</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颗粒物</w:t>
            </w:r>
          </w:p>
        </w:tc>
        <w:tc>
          <w:tcPr>
            <w:tcW w:w="1904" w:type="dxa"/>
            <w:vMerge w:val="restart"/>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120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r>
              <w:rPr>
                <w:rFonts w:hint="eastAsia" w:ascii="Times New Roman" w:hAnsi="Times New Roman" w:eastAsia="宋体" w:cs="Times New Roman"/>
                <w:b w:val="0"/>
                <w:bCs/>
                <w:sz w:val="21"/>
                <w:szCs w:val="21"/>
                <w:vertAlign w:val="baseline"/>
                <w:lang w:val="en-US" w:eastAsia="zh-CN"/>
              </w:rPr>
              <w:t>排放速率：3.5kg/h</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《大气污染物综合排放标准》（GB16297-1996）表2新污染源大气污染物排放限值二级标准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破碎工序、输送带与设备连接处废气排气筒出口</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vMerge w:val="continue"/>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TSP</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《大气污染物综合排放标准》（GB16297-1996）表2新污染源大气污染物排放限值</w:t>
            </w:r>
            <w:r>
              <w:rPr>
                <w:rFonts w:hint="eastAsia" w:ascii="Times New Roman" w:hAnsi="Times New Roman" w:eastAsia="宋体" w:cs="Times New Roman"/>
                <w:b w:val="0"/>
                <w:bCs/>
                <w:sz w:val="21"/>
                <w:szCs w:val="21"/>
                <w:lang w:val="en-US" w:eastAsia="zh-CN"/>
              </w:rPr>
              <w:t>无组织排放监控浓度限值要求</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2"/>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2"/>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2"/>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2"/>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2"/>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tcBorders/>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p>
        </w:tc>
        <w:tc>
          <w:tcPr>
            <w:tcW w:w="1407" w:type="dxa"/>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4类</w:t>
            </w:r>
          </w:p>
        </w:tc>
        <w:tc>
          <w:tcPr>
            <w:tcW w:w="1408" w:type="dxa"/>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70</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p>
        </w:tc>
        <w:tc>
          <w:tcPr>
            <w:tcW w:w="1407" w:type="dxa"/>
            <w:vMerge w:val="continue"/>
            <w:tcBorders/>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55</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5"/>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技改完成后，项目总体工程污染物总量控制指标建议为：二氧化硫：0t/a、氮氧化物：0t/a、化学需氧量：0t/a、氨氮：0t/a、颗粒物：46.8t/a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9"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2022年06月30日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2022年07月01日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3398" w:type="dxa"/>
            <w:vAlign w:val="center"/>
          </w:tcPr>
          <w:p>
            <w:pPr>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筛分工序、输送带与设备连接处废气排气筒出口设1个检测点位</w:t>
            </w:r>
          </w:p>
        </w:tc>
        <w:tc>
          <w:tcPr>
            <w:tcW w:w="2140" w:type="dxa"/>
            <w:vMerge w:val="restart"/>
            <w:vAlign w:val="center"/>
          </w:tcPr>
          <w:p>
            <w:pPr>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颗粒物</w:t>
            </w:r>
          </w:p>
        </w:tc>
        <w:tc>
          <w:tcPr>
            <w:tcW w:w="2967" w:type="dxa"/>
            <w:vMerge w:val="restart"/>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3398" w:type="dxa"/>
            <w:vAlign w:val="center"/>
          </w:tcPr>
          <w:p>
            <w:pPr>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破碎工序、输送带与设备连接处废气排气筒出口设1个检测点位</w:t>
            </w:r>
          </w:p>
        </w:tc>
        <w:tc>
          <w:tcPr>
            <w:tcW w:w="2140" w:type="dxa"/>
            <w:vMerge w:val="continue"/>
            <w:tcBorders/>
            <w:vAlign w:val="center"/>
          </w:tcPr>
          <w:p>
            <w:pPr>
              <w:snapToGrid w:val="0"/>
              <w:jc w:val="center"/>
              <w:rPr>
                <w:rFonts w:hint="eastAsia" w:ascii="Times New Roman" w:hAnsi="Times New Roman" w:eastAsia="宋体" w:cs="Times New Roman"/>
                <w:color w:val="000000"/>
                <w:sz w:val="21"/>
                <w:szCs w:val="21"/>
                <w:lang w:val="en-US" w:eastAsia="zh-CN"/>
              </w:rPr>
            </w:pPr>
          </w:p>
        </w:tc>
        <w:tc>
          <w:tcPr>
            <w:tcW w:w="2967" w:type="dxa"/>
            <w:vMerge w:val="continue"/>
            <w:tcBorders/>
            <w:vAlign w:val="center"/>
          </w:tcPr>
          <w:p>
            <w:pPr>
              <w:spacing w:line="240" w:lineRule="auto"/>
              <w:ind w:right="139" w:rightChars="66"/>
              <w:jc w:val="center"/>
              <w:rPr>
                <w:rFonts w:hint="default" w:ascii="Times New Roman" w:hAnsi="Times New Roman" w:eastAsia="宋体" w:cs="Times New Roman"/>
                <w:kern w:val="0"/>
                <w:szCs w:val="21"/>
              </w:rPr>
            </w:pP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厂界外下风向浓度最高点设3个监控点，上风向设1个参照点</w:t>
            </w:r>
            <w:r>
              <w:rPr>
                <w:rFonts w:hint="eastAsia" w:ascii="Times New Roman" w:hAnsi="Times New Roman" w:eastAsia="宋体" w:cs="Times New Roman"/>
              </w:rPr>
              <w:t>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011"/>
        <w:gridCol w:w="2689"/>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3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2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c>
          <w:tcPr>
            <w:tcW w:w="14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6"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3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《固定污染源废气 低浓度颗粒物的测定 重量法》</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836-2017</w:t>
            </w:r>
          </w:p>
        </w:tc>
        <w:tc>
          <w:tcPr>
            <w:tcW w:w="2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YQ3000-C全自动烟尘烟气测试仪</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029-03）</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101-2AB电热鼓风干燥箱</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015-01）</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AUW220D岛津电子天平</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009-03）</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H06恒温恒湿室  </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053-01）</w:t>
            </w:r>
          </w:p>
        </w:tc>
        <w:tc>
          <w:tcPr>
            <w:tcW w:w="14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1.0</w:t>
            </w:r>
            <w:r>
              <w:rPr>
                <w:rFonts w:hint="default" w:ascii="Times New Roman" w:hAnsi="Times New Roman" w:eastAsia="宋体" w:cs="Times New Roman"/>
                <w:spacing w:val="0"/>
                <w:sz w:val="21"/>
                <w:szCs w:val="21"/>
                <w:lang w:val="en-US" w:eastAsia="zh-CN"/>
              </w:rPr>
              <w:t>mg/m</w:t>
            </w:r>
            <w:r>
              <w:rPr>
                <w:rFonts w:hint="default" w:ascii="Times New Roman" w:hAnsi="Times New Roman" w:eastAsia="宋体" w:cs="Times New Roman"/>
                <w:spacing w:val="0"/>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312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3123"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c>
          <w:tcPr>
            <w:tcW w:w="1443"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《环境空气 总悬浮颗粒物的测定 重量法》（含修改单）</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highlight w:val="none"/>
              </w:rPr>
              <w:t>GB/T 15432-1995</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MH1200-16代全自动颗粒物大气采样器（YQ 030-01、02）</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MH1200型全自动颗粒物大气采样器（YQ 030-03、04）</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DEM6型轻便三杯风向风速表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HWS-70B恒温恒湿箱</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016-01）</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FA-2004B电子天平</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lang w:val="en-US" w:eastAsia="zh-CN"/>
              </w:rPr>
              <w:t>（YQ 009-02）</w:t>
            </w:r>
          </w:p>
        </w:tc>
        <w:tc>
          <w:tcPr>
            <w:tcW w:w="14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0.001mg/m</w:t>
            </w:r>
            <w:r>
              <w:rPr>
                <w:rFonts w:hint="default" w:ascii="Times New Roman" w:hAnsi="Times New Roman" w:eastAsia="宋体" w:cs="Times New Roman"/>
                <w:color w:val="000000"/>
                <w:kern w:val="0"/>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6"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AWA6228</w:t>
            </w:r>
            <w:r>
              <w:rPr>
                <w:rFonts w:hint="default" w:ascii="Times New Roman" w:hAnsi="Times New Roman" w:eastAsia="宋体" w:cs="Times New Roman"/>
                <w:bCs/>
                <w:sz w:val="21"/>
                <w:szCs w:val="21"/>
                <w:vertAlign w:val="superscript"/>
                <w:lang w:val="en-US" w:eastAsia="zh-CN" w:bidi="ar"/>
              </w:rPr>
              <w:t>+</w:t>
            </w:r>
            <w:r>
              <w:rPr>
                <w:rFonts w:hint="default" w:ascii="Times New Roman" w:hAnsi="Times New Roman" w:eastAsia="宋体" w:cs="Times New Roman"/>
                <w:bCs/>
                <w:sz w:val="21"/>
                <w:szCs w:val="21"/>
                <w:lang w:val="en-US" w:eastAsia="zh-CN" w:bidi="ar"/>
              </w:rPr>
              <w:t>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036-01）</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036-04）</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DEM6轻便三杯风向风速表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038-04）</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r>
        <w:rPr>
          <w:b/>
          <w:sz w:val="28"/>
          <w:szCs w:val="28"/>
        </w:rPr>
        <w:pict>
          <v:shape id="对象 27" o:spid="_x0000_s1191" o:spt="75" type="#_x0000_t75" style="position:absolute;left:0pt;margin-left:-44.95pt;margin-top:12.4pt;height:308.75pt;width:256.45pt;z-index:-251652096;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对象 27" DrawAspect="Content" ObjectID="_1468075725" r:id="rId9">
            <o:LockedField>false</o:LockedField>
          </o:OLEObject>
        </w:pict>
      </w:r>
      <w:r>
        <w:rPr>
          <w:b/>
          <w:sz w:val="28"/>
          <w:szCs w:val="28"/>
        </w:rPr>
        <w:pict>
          <v:shape id="_x0000_s1190" o:spid="_x0000_s1190" o:spt="75" type="#_x0000_t75" style="position:absolute;left:0pt;margin-left:193.85pt;margin-top:12.4pt;height:308.75pt;width:256.45pt;z-index:-251651072;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190"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8"/>
        <w:rPr>
          <w:rFonts w:hint="eastAsia" w:ascii="Times New Roman" w:hAnsi="Times New Roman" w:cs="Times New Roman"/>
          <w:bCs/>
          <w:sz w:val="18"/>
          <w:szCs w:val="18"/>
          <w:lang w:eastAsia="zh-CN"/>
        </w:rPr>
      </w:pPr>
    </w:p>
    <w:p>
      <w:pPr>
        <w:pStyle w:val="38"/>
        <w:rPr>
          <w:rFonts w:hint="eastAsia" w:ascii="Times New Roman" w:hAnsi="Times New Roman" w:cs="Times New Roman"/>
          <w:bCs/>
          <w:sz w:val="18"/>
          <w:szCs w:val="18"/>
          <w:lang w:eastAsia="zh-CN"/>
        </w:rPr>
      </w:pPr>
    </w:p>
    <w:p>
      <w:pPr>
        <w:pStyle w:val="38"/>
        <w:rPr>
          <w:rFonts w:hint="eastAsia" w:ascii="Times New Roman" w:hAnsi="Times New Roman" w:cs="Times New Roman"/>
          <w:bCs/>
          <w:sz w:val="18"/>
          <w:szCs w:val="18"/>
          <w:lang w:eastAsia="zh-CN"/>
        </w:rPr>
      </w:pPr>
    </w:p>
    <w:p>
      <w:pPr>
        <w:pStyle w:val="38"/>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504325371"/>
      <w:bookmarkStart w:id="91" w:name="_Toc497001486"/>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0"/>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筛分工序、输送带与设备连接处</w:t>
            </w:r>
            <w:r>
              <w:rPr>
                <w:rFonts w:hint="default" w:ascii="Times New Roman" w:hAnsi="Times New Roman" w:eastAsia="宋体" w:cs="Times New Roman"/>
                <w:sz w:val="21"/>
                <w:szCs w:val="21"/>
                <w:lang w:eastAsia="zh-CN"/>
              </w:rPr>
              <w:t>废气排气筒</w:t>
            </w:r>
            <w:r>
              <w:rPr>
                <w:rFonts w:hint="default" w:ascii="Times New Roman" w:hAnsi="Times New Roman" w:eastAsia="宋体" w:cs="Times New Roman"/>
                <w:color w:val="auto"/>
                <w:sz w:val="21"/>
                <w:szCs w:val="21"/>
                <w:lang w:eastAsia="zh-CN"/>
              </w:rPr>
              <w:t>出</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2022.06.30</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25630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25349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26045</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26045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2.3</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GB16297-1996表2（120）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5.38</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4.82</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5.99</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5.99</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GB16297-1996表2（3.5）</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筛分工序、输送带与设备连接处</w:t>
            </w:r>
            <w:r>
              <w:rPr>
                <w:rFonts w:hint="default" w:ascii="Times New Roman" w:hAnsi="Times New Roman" w:eastAsia="宋体" w:cs="Times New Roman"/>
                <w:sz w:val="21"/>
                <w:szCs w:val="21"/>
                <w:lang w:eastAsia="zh-CN"/>
              </w:rPr>
              <w:t>废气排气筒</w:t>
            </w:r>
            <w:r>
              <w:rPr>
                <w:rFonts w:hint="default" w:ascii="Times New Roman" w:hAnsi="Times New Roman" w:eastAsia="宋体" w:cs="Times New Roman"/>
                <w:color w:val="auto"/>
                <w:sz w:val="21"/>
                <w:szCs w:val="21"/>
                <w:lang w:eastAsia="zh-CN"/>
              </w:rPr>
              <w:t>出</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w:t>
            </w:r>
            <w:r>
              <w:rPr>
                <w:rFonts w:hint="default" w:ascii="Times New Roman" w:hAnsi="Times New Roman" w:eastAsia="宋体" w:cs="Times New Roman"/>
                <w:color w:val="auto"/>
                <w:sz w:val="21"/>
                <w:szCs w:val="21"/>
                <w:lang w:val="en-US" w:eastAsia="zh-CN"/>
              </w:rPr>
              <w:t>7.01</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25853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25155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24870</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25853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2.0</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GB16297-1996表2（120）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5.17</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4.78</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4.97</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5.17</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GB16297-1996表2（3.5）</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eastAsia="zh-CN"/>
              </w:rPr>
              <w:t>破碎工序、输送带与设备连接处废气排气筒</w:t>
            </w:r>
            <w:r>
              <w:rPr>
                <w:rFonts w:hint="default" w:ascii="Times New Roman" w:hAnsi="Times New Roman" w:eastAsia="宋体" w:cs="Times New Roman"/>
                <w:color w:val="auto"/>
                <w:sz w:val="21"/>
                <w:szCs w:val="21"/>
                <w:lang w:eastAsia="zh-CN"/>
              </w:rPr>
              <w:t>出</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2022.06.30</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23693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23991</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23542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23991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GB16297-1996表2（120）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5.45</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6.00</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5.65</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6.00</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GB16297-1996表2（3.5）</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eastAsia="zh-CN"/>
              </w:rPr>
              <w:t>破碎工序、输送带与设备连接处废气排气筒</w:t>
            </w:r>
            <w:r>
              <w:rPr>
                <w:rFonts w:hint="default" w:ascii="Times New Roman" w:hAnsi="Times New Roman" w:eastAsia="宋体" w:cs="Times New Roman"/>
                <w:color w:val="auto"/>
                <w:sz w:val="21"/>
                <w:szCs w:val="21"/>
                <w:lang w:eastAsia="zh-CN"/>
              </w:rPr>
              <w:t>出</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w:t>
            </w:r>
            <w:r>
              <w:rPr>
                <w:rFonts w:hint="default" w:ascii="Times New Roman" w:hAnsi="Times New Roman" w:eastAsia="宋体" w:cs="Times New Roman"/>
                <w:color w:val="auto"/>
                <w:sz w:val="21"/>
                <w:szCs w:val="21"/>
                <w:lang w:val="en-US" w:eastAsia="zh-CN"/>
              </w:rPr>
              <w:t>7.01</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24270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23375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23678</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24270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2.0</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GB16297-1996表2（120）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5.10</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4.44</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5.10</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GB16297-1996表2（3.5）</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14773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年运行3000小时；</w:t>
            </w:r>
          </w:p>
        </w:tc>
      </w:tr>
    </w:tbl>
    <w:p>
      <w:pPr>
        <w:rPr>
          <w:rFonts w:hint="default" w:ascii="Times New Roman" w:hAnsi="Times New Roman" w:cs="Times New Roman"/>
        </w:rPr>
      </w:pPr>
      <w:bookmarkStart w:id="92" w:name="_Toc503681484"/>
      <w:bookmarkStart w:id="93" w:name="_Toc503969735"/>
      <w:bookmarkStart w:id="94" w:name="_Toc504325372"/>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504325373"/>
      <w:bookmarkStart w:id="96" w:name="_Toc497001489"/>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4"/>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4"/>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4"/>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4"/>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4"/>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4"/>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4"/>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4"/>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4"/>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TSP</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2021.06.30</w:t>
            </w: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厂界上风向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0.167</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监控点○1#</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0.533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0.450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4"/>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监控点○2#</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0.483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0.517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4"/>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0.467</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0.467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TSP</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2021.07.01</w:t>
            </w: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厂界上风向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0.150</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监控点○1#</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0.450</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0.467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4"/>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监控点○2#</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0.433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0.483</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4"/>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0.483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0.433</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0.467</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1"/>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2021.06.30</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2021.07.01</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8"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北厂界外1m处（</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61.2</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50.7</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61.3</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50.5</w:t>
            </w:r>
          </w:p>
        </w:tc>
        <w:tc>
          <w:tcPr>
            <w:tcW w:w="1341" w:type="dxa"/>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rPr>
              <w:t>昼间：</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0</w:t>
            </w:r>
          </w:p>
          <w:p>
            <w:pPr>
              <w:spacing w:line="240" w:lineRule="exact"/>
              <w:jc w:val="center"/>
              <w:rPr>
                <w:rFonts w:hint="default"/>
                <w:lang w:val="en-US"/>
              </w:rPr>
            </w:pPr>
            <w:r>
              <w:rPr>
                <w:rFonts w:hint="eastAsia" w:ascii="Times New Roman" w:hAnsi="Times New Roman" w:eastAsia="宋体" w:cs="Times New Roman"/>
                <w:lang w:val="en-US" w:eastAsia="zh-CN"/>
              </w:rPr>
              <w:t>夜</w:t>
            </w:r>
            <w:r>
              <w:rPr>
                <w:rFonts w:hint="default" w:ascii="Times New Roman" w:hAnsi="Times New Roman" w:eastAsia="宋体" w:cs="Times New Roman"/>
              </w:rPr>
              <w:t>间：</w:t>
            </w:r>
            <w:r>
              <w:rPr>
                <w:rFonts w:hint="eastAsia" w:ascii="Times New Roman" w:hAnsi="Times New Roman" w:eastAsia="宋体" w:cs="Times New Roman"/>
                <w:lang w:val="en-US" w:eastAsia="zh-CN"/>
              </w:rPr>
              <w:t>55</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西</w:t>
            </w:r>
            <w:r>
              <w:rPr>
                <w:rFonts w:hint="default" w:ascii="Times New Roman" w:hAnsi="Times New Roman" w:eastAsia="宋体" w:cs="Times New Roman"/>
                <w:sz w:val="21"/>
                <w:szCs w:val="21"/>
                <w:lang w:eastAsia="zh-CN"/>
              </w:rPr>
              <w:t>厂界外1m处（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58.2</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48.7</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57.8</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48.3</w:t>
            </w:r>
          </w:p>
        </w:tc>
        <w:tc>
          <w:tcPr>
            <w:tcW w:w="1341" w:type="dxa"/>
            <w:vMerge w:val="restart"/>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p>
            <w:pPr>
              <w:spacing w:line="24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lang w:val="en-US" w:eastAsia="zh-CN"/>
              </w:rPr>
              <w:t>夜</w:t>
            </w:r>
            <w:r>
              <w:rPr>
                <w:rFonts w:hint="default" w:ascii="Times New Roman" w:hAnsi="Times New Roman" w:eastAsia="宋体" w:cs="Times New Roman"/>
              </w:rPr>
              <w:t>间：</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南厂界外1m处（</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57.4</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46.4</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57.1</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46.8</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东</w:t>
            </w:r>
            <w:r>
              <w:rPr>
                <w:rFonts w:hint="default" w:ascii="Times New Roman" w:hAnsi="Times New Roman" w:eastAsia="宋体" w:cs="Times New Roman"/>
                <w:sz w:val="21"/>
                <w:szCs w:val="21"/>
                <w:lang w:eastAsia="zh-CN"/>
              </w:rPr>
              <w:t>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58.8</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47.3</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58.4</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47.5</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504325375"/>
      <w:bookmarkStart w:id="99" w:name="_Toc497001491"/>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bookmarkStart w:id="100" w:name="_Toc6604"/>
      <w:bookmarkStart w:id="101" w:name="_Toc6889"/>
      <w:bookmarkStart w:id="102" w:name="_Toc1528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筛分工序、输送带与设备连接处</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eastAsia="宋体" w:cs="Times New Roman"/>
          <w:sz w:val="24"/>
          <w:szCs w:val="24"/>
          <w:lang w:eastAsia="zh-CN"/>
        </w:rPr>
        <w:t>集气罩收集脉冲式布袋除尘器</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最高排放速率为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5.99×10</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《大气污染物综合排放标准》（GB16297-1996）表2</w:t>
      </w:r>
      <w:r>
        <w:rPr>
          <w:rFonts w:hint="eastAsia" w:ascii="Times New Roman" w:hAnsi="Times New Roman" w:cs="Times New Roman"/>
          <w:bCs/>
          <w:color w:val="000000" w:themeColor="text1"/>
          <w:sz w:val="24"/>
          <w:szCs w:val="24"/>
          <w:lang w:eastAsia="zh-CN"/>
          <w14:textFill>
            <w14:solidFill>
              <w14:schemeClr w14:val="tx1"/>
            </w14:solidFill>
          </w14:textFill>
        </w:rPr>
        <w:t>新污染源大气污染物排放限值（其他）</w:t>
      </w:r>
      <w:r>
        <w:rPr>
          <w:rFonts w:hint="default" w:ascii="Times New Roman" w:hAnsi="Times New Roman" w:cs="Times New Roman"/>
          <w:bCs/>
          <w:color w:val="000000" w:themeColor="text1"/>
          <w:sz w:val="24"/>
          <w:szCs w:val="24"/>
          <w14:textFill>
            <w14:solidFill>
              <w14:schemeClr w14:val="tx1"/>
            </w14:solidFill>
          </w14:textFill>
        </w:rPr>
        <w:t>二级标准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w:t>
      </w:r>
    </w:p>
    <w:p>
      <w:pPr>
        <w:pStyle w:val="10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eastAsia"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破碎工序、输送带与设备连接处</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eastAsia="宋体" w:cs="Times New Roman"/>
          <w:sz w:val="24"/>
          <w:szCs w:val="24"/>
          <w:lang w:eastAsia="zh-CN"/>
        </w:rPr>
        <w:t>集气罩收集脉冲式布袋除尘器</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最高排放速率为6.00×10</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cs="Times New Roman"/>
          <w:bCs/>
          <w:color w:val="000000" w:themeColor="text1"/>
          <w:sz w:val="24"/>
          <w:szCs w:val="24"/>
          <w14:textFill>
            <w14:solidFill>
              <w14:schemeClr w14:val="tx1"/>
            </w14:solidFill>
          </w14:textFill>
        </w:rPr>
        <w:t>《大气污染物综合排放标准》（GB16297-1996）表2</w:t>
      </w:r>
      <w:r>
        <w:rPr>
          <w:rFonts w:hint="eastAsia" w:ascii="Times New Roman" w:hAnsi="Times New Roman" w:cs="Times New Roman"/>
          <w:bCs/>
          <w:color w:val="000000" w:themeColor="text1"/>
          <w:sz w:val="24"/>
          <w:szCs w:val="24"/>
          <w:lang w:eastAsia="zh-CN"/>
          <w14:textFill>
            <w14:solidFill>
              <w14:schemeClr w14:val="tx1"/>
            </w14:solidFill>
          </w14:textFill>
        </w:rPr>
        <w:t>新污染源大气污染物排放限值（其他）</w:t>
      </w:r>
      <w:r>
        <w:rPr>
          <w:rFonts w:hint="default" w:ascii="Times New Roman" w:hAnsi="Times New Roman" w:cs="Times New Roman"/>
          <w:bCs/>
          <w:color w:val="000000" w:themeColor="text1"/>
          <w:sz w:val="24"/>
          <w:szCs w:val="24"/>
          <w14:textFill>
            <w14:solidFill>
              <w14:schemeClr w14:val="tx1"/>
            </w14:solidFill>
          </w14:textFill>
        </w:rPr>
        <w:t>二级标准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排放速率：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cs="Times New Roman"/>
          <w:color w:val="auto"/>
          <w:spacing w:val="-2"/>
          <w:sz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0.533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bCs/>
          <w:color w:val="000000" w:themeColor="text1"/>
          <w:sz w:val="24"/>
          <w:szCs w:val="24"/>
          <w14:textFill>
            <w14:solidFill>
              <w14:schemeClr w14:val="tx1"/>
            </w14:solidFill>
          </w14:textFill>
        </w:rPr>
        <w:t>《大气污染物综合排放标准》（GB16297-1996）表2</w:t>
      </w:r>
      <w:r>
        <w:rPr>
          <w:rFonts w:hint="default" w:ascii="Times New Roman" w:hAnsi="Times New Roman" w:eastAsia="宋体" w:cs="Times New Roman"/>
          <w:bCs/>
          <w:color w:val="000000" w:themeColor="text1"/>
          <w:sz w:val="24"/>
          <w:szCs w:val="24"/>
          <w:lang w:eastAsia="zh-CN"/>
          <w14:textFill>
            <w14:solidFill>
              <w14:schemeClr w14:val="tx1"/>
            </w14:solidFill>
          </w14:textFill>
        </w:rPr>
        <w:t>新污染源大气污染物排放限值无组织排放监控浓度限值</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kern w:val="0"/>
          <w:sz w:val="24"/>
          <w:szCs w:val="24"/>
        </w:rPr>
        <w:t>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北、东、南、西方向各设1个监测点位，厂界西侧、南侧、东侧各点位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间、夜间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厂界北侧</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间、夜</w:t>
      </w:r>
      <w:r>
        <w:rPr>
          <w:rFonts w:hint="eastAsia" w:ascii="Times New Roman" w:hAnsi="Times New Roman" w:eastAsia="宋体" w:cs="Times New Roman"/>
          <w:color w:val="auto"/>
          <w:kern w:val="0"/>
          <w:sz w:val="24"/>
          <w:szCs w:val="24"/>
          <w:lang w:val="en-US" w:eastAsia="zh-CN"/>
        </w:rPr>
        <w:t>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类标准限值（昼间：</w:t>
      </w:r>
      <w:r>
        <w:rPr>
          <w:rFonts w:hint="eastAsia" w:ascii="Times New Roman" w:hAnsi="Times New Roman" w:eastAsia="宋体" w:cs="Times New Roman"/>
          <w:color w:val="auto"/>
          <w:kern w:val="0"/>
          <w:sz w:val="24"/>
          <w:szCs w:val="24"/>
          <w:lang w:val="en-US" w:eastAsia="zh-CN"/>
        </w:rPr>
        <w:t>70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，夜间：</w:t>
      </w:r>
      <w:r>
        <w:rPr>
          <w:rFonts w:hint="eastAsia" w:ascii="Times New Roman" w:hAnsi="Times New Roman" w:eastAsia="宋体" w:cs="Times New Roman"/>
          <w:color w:val="auto"/>
          <w:kern w:val="0"/>
          <w:sz w:val="24"/>
          <w:szCs w:val="24"/>
          <w:lang w:val="en-US" w:eastAsia="zh-CN"/>
        </w:rPr>
        <w:t>55</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技改完成后，项目总体工程污染物</w:t>
      </w:r>
      <w:r>
        <w:rPr>
          <w:rFonts w:hint="default" w:ascii="Times New Roman" w:hAnsi="Times New Roman" w:eastAsia="宋体" w:cs="Times New Roman"/>
          <w:sz w:val="24"/>
          <w:szCs w:val="24"/>
          <w:lang w:eastAsia="zh-CN"/>
        </w:rPr>
        <w:t>总量控制指标建议为：</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：0t/a、颗粒物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46.8t/a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：0t/a、颗粒物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0.250</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lang w:eastAsia="zh-CN"/>
        </w:rPr>
        <w:t>满足环评中总量控制要求</w:t>
      </w:r>
      <w:r>
        <w:rPr>
          <w:rFonts w:hint="eastAsia"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河间市诚芳建筑材料有限公司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294178076"/>
      <w:bookmarkStart w:id="111" w:name="_Toc412705194"/>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504325382"/>
      <w:bookmarkStart w:id="114" w:name="_Toc294178077"/>
      <w:bookmarkStart w:id="115" w:name="_Toc412705195"/>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河间市诚芳建筑材料有限公司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4220604"/>
      <w:bookmarkStart w:id="118" w:name="_Toc41270519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2705196"/>
      <w:bookmarkStart w:id="120" w:name="_Toc504325383"/>
      <w:bookmarkStart w:id="121" w:name="_Toc414220602"/>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4"/>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color w:val="auto"/>
          <w:spacing w:val="-2"/>
          <w:sz w:val="24"/>
          <w:szCs w:val="24"/>
          <w:lang w:val="en-US" w:eastAsia="zh-CN"/>
        </w:rPr>
        <w:t>项目筛分工序、输送带与设备连接处</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经集气罩收集脉冲式布袋除尘器</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最高排放速率为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5.99×10</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bCs/>
          <w:color w:val="000000" w:themeColor="text1"/>
          <w:sz w:val="24"/>
          <w:szCs w:val="24"/>
          <w14:textFill>
            <w14:solidFill>
              <w14:schemeClr w14:val="tx1"/>
            </w14:solidFill>
          </w14:textFill>
        </w:rPr>
        <w:t>《大气污染物综合排放标准》（GB16297-1996）表2</w:t>
      </w:r>
      <w:r>
        <w:rPr>
          <w:rFonts w:hint="default" w:ascii="Times New Roman" w:hAnsi="Times New Roman" w:eastAsia="宋体" w:cs="Times New Roman"/>
          <w:bCs/>
          <w:color w:val="000000" w:themeColor="text1"/>
          <w:sz w:val="24"/>
          <w:szCs w:val="24"/>
          <w:lang w:eastAsia="zh-CN"/>
          <w14:textFill>
            <w14:solidFill>
              <w14:schemeClr w14:val="tx1"/>
            </w14:solidFill>
          </w14:textFill>
        </w:rPr>
        <w:t>新污染源大气污染物排放限值（其他）</w:t>
      </w:r>
      <w:r>
        <w:rPr>
          <w:rFonts w:hint="default" w:ascii="Times New Roman" w:hAnsi="Times New Roman" w:eastAsia="宋体" w:cs="Times New Roman"/>
          <w:bCs/>
          <w:color w:val="000000" w:themeColor="text1"/>
          <w:sz w:val="24"/>
          <w:szCs w:val="24"/>
          <w14:textFill>
            <w14:solidFill>
              <w14:schemeClr w14:val="tx1"/>
            </w14:solidFill>
          </w14:textFill>
        </w:rPr>
        <w:t>二级标准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10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default" w:ascii="Times New Roman" w:hAnsi="Times New Roman" w:eastAsia="宋体" w:cs="Times New Roman"/>
          <w:color w:val="auto"/>
          <w:spacing w:val="-2"/>
          <w:sz w:val="24"/>
          <w:lang w:val="en-US" w:eastAsia="zh-CN"/>
        </w:rPr>
      </w:pPr>
      <w:r>
        <w:rPr>
          <w:rFonts w:hint="default" w:ascii="Times New Roman" w:hAnsi="Times New Roman" w:eastAsia="宋体" w:cs="Times New Roman"/>
          <w:color w:val="auto"/>
          <w:spacing w:val="-2"/>
          <w:sz w:val="24"/>
          <w:szCs w:val="24"/>
          <w:lang w:val="en-US" w:eastAsia="zh-CN"/>
        </w:rPr>
        <w:t>项目破碎工序、输送带与设备连接处</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经集气罩收集脉冲式布袋除尘器</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最高排放速率为6.00×10</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bCs/>
          <w:color w:val="000000" w:themeColor="text1"/>
          <w:sz w:val="24"/>
          <w:szCs w:val="24"/>
          <w14:textFill>
            <w14:solidFill>
              <w14:schemeClr w14:val="tx1"/>
            </w14:solidFill>
          </w14:textFill>
        </w:rPr>
        <w:t>《大气污染物综合排放标准》（GB16297-1996）表2</w:t>
      </w:r>
      <w:r>
        <w:rPr>
          <w:rFonts w:hint="default" w:ascii="Times New Roman" w:hAnsi="Times New Roman" w:eastAsia="宋体" w:cs="Times New Roman"/>
          <w:bCs/>
          <w:color w:val="000000" w:themeColor="text1"/>
          <w:sz w:val="24"/>
          <w:szCs w:val="24"/>
          <w:lang w:eastAsia="zh-CN"/>
          <w14:textFill>
            <w14:solidFill>
              <w14:schemeClr w14:val="tx1"/>
            </w14:solidFill>
          </w14:textFill>
        </w:rPr>
        <w:t>新污染源大气污染物排放限值（其他）</w:t>
      </w:r>
      <w:r>
        <w:rPr>
          <w:rFonts w:hint="default" w:ascii="Times New Roman" w:hAnsi="Times New Roman" w:eastAsia="宋体" w:cs="Times New Roman"/>
          <w:bCs/>
          <w:color w:val="000000" w:themeColor="text1"/>
          <w:sz w:val="24"/>
          <w:szCs w:val="24"/>
          <w14:textFill>
            <w14:solidFill>
              <w14:schemeClr w14:val="tx1"/>
            </w14:solidFill>
          </w14:textFill>
        </w:rPr>
        <w:t>二级标准</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排放速率：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3.5kg/h</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auto"/>
          <w:spacing w:val="-2"/>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0.533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bCs/>
          <w:color w:val="000000" w:themeColor="text1"/>
          <w:sz w:val="24"/>
          <w:szCs w:val="24"/>
          <w14:textFill>
            <w14:solidFill>
              <w14:schemeClr w14:val="tx1"/>
            </w14:solidFill>
          </w14:textFill>
        </w:rPr>
        <w:t>《大气污染物综合排放标准》（GB16297-1996）表2</w:t>
      </w:r>
      <w:r>
        <w:rPr>
          <w:rFonts w:hint="default" w:ascii="Times New Roman" w:hAnsi="Times New Roman" w:eastAsia="宋体" w:cs="Times New Roman"/>
          <w:bCs/>
          <w:color w:val="000000" w:themeColor="text1"/>
          <w:sz w:val="24"/>
          <w:szCs w:val="24"/>
          <w:lang w:eastAsia="zh-CN"/>
          <w14:textFill>
            <w14:solidFill>
              <w14:schemeClr w14:val="tx1"/>
            </w14:solidFill>
          </w14:textFill>
        </w:rPr>
        <w:t>新污染源大气污染物排放限值无组织排放监控浓度限值</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4"/>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kern w:val="0"/>
          <w:sz w:val="24"/>
          <w:szCs w:val="24"/>
        </w:rPr>
        <w:t>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北、东、南、西方向各设1个监测点位，厂界西侧、南侧、东侧各点位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间、夜间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厂界北侧</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间、夜</w:t>
      </w:r>
      <w:r>
        <w:rPr>
          <w:rFonts w:hint="eastAsia" w:ascii="Times New Roman" w:hAnsi="Times New Roman" w:eastAsia="宋体" w:cs="Times New Roman"/>
          <w:color w:val="auto"/>
          <w:kern w:val="0"/>
          <w:sz w:val="24"/>
          <w:szCs w:val="24"/>
          <w:lang w:val="en-US" w:eastAsia="zh-CN"/>
        </w:rPr>
        <w:t>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类标准限值（昼间：</w:t>
      </w:r>
      <w:r>
        <w:rPr>
          <w:rFonts w:hint="eastAsia" w:ascii="Times New Roman" w:hAnsi="Times New Roman" w:eastAsia="宋体" w:cs="Times New Roman"/>
          <w:color w:val="auto"/>
          <w:kern w:val="0"/>
          <w:sz w:val="24"/>
          <w:szCs w:val="24"/>
          <w:lang w:val="en-US" w:eastAsia="zh-CN"/>
        </w:rPr>
        <w:t>70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，夜间：</w:t>
      </w:r>
      <w:r>
        <w:rPr>
          <w:rFonts w:hint="eastAsia" w:ascii="Times New Roman" w:hAnsi="Times New Roman" w:eastAsia="宋体" w:cs="Times New Roman"/>
          <w:color w:val="auto"/>
          <w:kern w:val="0"/>
          <w:sz w:val="24"/>
          <w:szCs w:val="24"/>
          <w:lang w:val="en-US" w:eastAsia="zh-CN"/>
        </w:rPr>
        <w:t>55</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104"/>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项目无新增生产和生活污水</w:t>
      </w:r>
      <w:r>
        <w:rPr>
          <w:rFonts w:hint="default" w:ascii="Times New Roman" w:hAnsi="Times New Roman" w:eastAsia="宋体" w:cs="Times New Roman"/>
          <w:sz w:val="24"/>
          <w:szCs w:val="24"/>
        </w:rPr>
        <w:t>。</w:t>
      </w:r>
    </w:p>
    <w:p>
      <w:pPr>
        <w:pStyle w:val="104"/>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5"/>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项目产生固体废物为破碎、筛分工序产生的边角料、布袋除尘灰。</w:t>
      </w:r>
    </w:p>
    <w:p>
      <w:pPr>
        <w:pStyle w:val="85"/>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技改项目完成后，全厂破碎、筛分工序产生的边角料、布袋除尘灰回用于生产</w:t>
      </w:r>
      <w:r>
        <w:rPr>
          <w:rFonts w:hint="default" w:ascii="Times New Roman" w:hAnsi="Times New Roman" w:cs="Times New Roman"/>
          <w:color w:val="auto"/>
        </w:rPr>
        <w:t>。</w:t>
      </w:r>
    </w:p>
    <w:p>
      <w:pPr>
        <w:pStyle w:val="104"/>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技改完成后，项目总体工程污染物总量控制指标建议为：二氧化硫：0t/a、氮氧化物：0t/a、化学需氧量：0t/a、氨氮：0t/a、颗粒物：46.8t/a。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实际排放污染物总量为：化学需氧量：0t/a、氨氮：0t/a、二氧化硫：0t/a、氮氧化物：0t/a、颗粒物：0.250t/a。满足环评中总量控制要求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-1083945</wp:posOffset>
            </wp:positionH>
            <wp:positionV relativeFrom="paragraph">
              <wp:posOffset>1633220</wp:posOffset>
            </wp:positionV>
            <wp:extent cx="8639810" cy="6120130"/>
            <wp:effectExtent l="0" t="0" r="13970" b="8890"/>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-1222375</wp:posOffset>
            </wp:positionH>
            <wp:positionV relativeFrom="paragraph">
              <wp:posOffset>1623695</wp:posOffset>
            </wp:positionV>
            <wp:extent cx="8639810" cy="6120130"/>
            <wp:effectExtent l="0" t="0" r="13970" b="889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1134110</wp:posOffset>
            </wp:positionH>
            <wp:positionV relativeFrom="paragraph">
              <wp:posOffset>145415</wp:posOffset>
            </wp:positionV>
            <wp:extent cx="3914775" cy="5619750"/>
            <wp:effectExtent l="0" t="0" r="952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3914775" cy="561975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eastAsia" w:ascii="黑体" w:eastAsia="黑体"/>
          <w:b w:val="0"/>
          <w:bCs/>
          <w:sz w:val="32"/>
          <w:szCs w:val="32"/>
          <w:lang w:eastAsia="zh-CN"/>
        </w:rPr>
        <w:drawing>
          <wp:anchor distT="0" distB="0" distL="114300" distR="114300" simplePos="0" relativeHeight="251666432" behindDoc="0" locked="0" layoutInCell="1" allowOverlap="1">
            <wp:simplePos x="0" y="0"/>
            <wp:positionH relativeFrom="column">
              <wp:posOffset>220980</wp:posOffset>
            </wp:positionH>
            <wp:positionV relativeFrom="paragraph">
              <wp:posOffset>342900</wp:posOffset>
            </wp:positionV>
            <wp:extent cx="5904230" cy="8322310"/>
            <wp:effectExtent l="0" t="0" r="1270" b="2540"/>
            <wp:wrapNone/>
            <wp:docPr id="6" name="图片 6" descr="fa6e177b9dbd5d9a7fd525311eea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6e177b9dbd5d9a7fd525311eea929"/>
                    <pic:cNvPicPr>
                      <a:picLocks noChangeAspect="1"/>
                    </pic:cNvPicPr>
                  </pic:nvPicPr>
                  <pic:blipFill>
                    <a:blip r:embed="rId16"/>
                    <a:stretch>
                      <a:fillRect/>
                    </a:stretch>
                  </pic:blipFill>
                  <pic:spPr>
                    <a:xfrm>
                      <a:off x="0" y="0"/>
                      <a:ext cx="5904230" cy="83223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7456" behindDoc="0" locked="0" layoutInCell="1" allowOverlap="1">
            <wp:simplePos x="0" y="0"/>
            <wp:positionH relativeFrom="column">
              <wp:posOffset>68580</wp:posOffset>
            </wp:positionH>
            <wp:positionV relativeFrom="paragraph">
              <wp:posOffset>65405</wp:posOffset>
            </wp:positionV>
            <wp:extent cx="5994400" cy="8479155"/>
            <wp:effectExtent l="0" t="0" r="6350" b="17145"/>
            <wp:wrapNone/>
            <wp:docPr id="7" name="图片 7" descr="8231ccf7a871edd14f9d97788a8e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31ccf7a871edd14f9d97788a8efa4"/>
                    <pic:cNvPicPr>
                      <a:picLocks noChangeAspect="1"/>
                    </pic:cNvPicPr>
                  </pic:nvPicPr>
                  <pic:blipFill>
                    <a:blip r:embed="rId17"/>
                    <a:stretch>
                      <a:fillRect/>
                    </a:stretch>
                  </pic:blipFill>
                  <pic:spPr>
                    <a:xfrm>
                      <a:off x="0" y="0"/>
                      <a:ext cx="5994400" cy="8479155"/>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河间市诚芳建筑材料有限公司 </w:t>
      </w:r>
      <w:r>
        <w:rPr>
          <w:rFonts w:hint="default" w:ascii="Times New Roman" w:hAnsi="Times New Roman" w:cs="Times New Roman"/>
        </w:rPr>
        <w:t xml:space="preserve"> 填表人（签字）：            项目经办人（签字）：</w:t>
      </w:r>
    </w:p>
    <w:tbl>
      <w:tblPr>
        <w:tblStyle w:val="31"/>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砂石骨料生产线技改项目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沧州市河间市兴村镇李胡村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C3039其他建筑材料制造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2292985</wp:posOffset>
                      </wp:positionH>
                      <wp:positionV relativeFrom="paragraph">
                        <wp:posOffset>71755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80.55pt;margin-top:5.65pt;height:5.6pt;width:5.25pt;z-index:251661312;v-text-anchor:middle;mso-width-relative:page;mso-height-relative:page;" fillcolor="#000000 [3213]" filled="t" stroked="t" coordsize="21600,21600" o:gfxdata="UEsDBAoAAAAAAIdO4kAAAAAAAAAAAAAAAAAEAAAAZHJzL1BLAwQUAAAACACHTuJABz9J6tkAAAAI&#10;AQAADwAAAGRycy9kb3ducmV2LnhtbE2PzU7DMBCE70i8g7VI3KjTFEga4lQqUjlU4kCAVtyceEki&#10;7HUUuz+8PcsJTqvRfJqdKVdnZ8URpzB4UjCfJSCQWm8G6hS8vW5uchAhajLaekIF3xhgVV1elLow&#10;/kQveKxjJziEQqEV9DGOhZSh7dHpMPMjEnuffnI6spw6aSZ94nBnZZok99LpgfhDr0d87LH9qg9O&#10;gVtun3Hn9x/NNltbU7fvT4v1Rqnrq3nyACLiOf7B8Fufq0PFnRp/IBOEVZAusjtGFeR82E9vc97W&#10;MLjMQFal/D+g+gF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z9J6t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1515745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19.35pt;margin-top:5.2pt;height:5.6pt;width:5.25pt;z-index:251660288;v-text-anchor:middle;mso-width-relative:page;mso-height-relative:page;" fillcolor="#FFFFFF [3212]" filled="t" stroked="t" coordsize="21600,21600" o:gfxdata="UEsDBAoAAAAAAIdO4kAAAAAAAAAAAAAAAAAEAAAAZHJzL1BLAwQUAAAACACHTuJApmdJw9YAAAAI&#10;AQAADwAAAGRycy9kb3ducmV2LnhtbE2PPU/DMBCGdyT+g3VIbNQuhX6kcTog2FgSGGC7xtckwj5H&#10;sdsk/HrMBOPpffS+z+WHyVlxoSF0njUsFwoEce1Nx42G97eXuy2IEJENWs+kYaYAh+L6KsfM+JFL&#10;ulSxEamEQ4Ya2hj7TMpQt+QwLHxPnLKTHxzGdA6NNAOOqdxZea/UWjrsOC202NNTS/VXdXYasJo+&#10;53n+GEdZWtU9f5d99VpqfXuzVHsQkab4B8OvflKHIjkd/ZlNEFbDaq0eEqph+wgi5auN2oE4JnC3&#10;AVnk8v8DxQ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nScPWAAAACA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技改完成后年产砂石骨料60万吨(原产能不变)</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技改完成后年产砂石骨料60万吨(原产能不变)</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河环表[2022]（06-12）号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3000小时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河间市诚芳建筑材料有限公司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91130984MA0CKCMJ50</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19"/>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19"/>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19"/>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14773</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14773</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19"/>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c>
          <w:tcPr>
            <w:tcW w:w="1134" w:type="dxa"/>
            <w:gridSpan w:val="2"/>
            <w:vAlign w:val="center"/>
          </w:tcPr>
          <w:p>
            <w:pPr>
              <w:pStyle w:val="119"/>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0.312</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0.312</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19"/>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default"/>
        <w:lang w:val="en-US"/>
      </w:rPr>
    </w:pPr>
    <w:r>
      <w:rPr>
        <w:rFonts w:hint="eastAsia" w:ascii="Times New Roman" w:hAnsi="Times New Roman" w:eastAsia="宋体" w:cs="Times New Roman"/>
        <w:color w:val="000000"/>
        <w:szCs w:val="21"/>
        <w:lang w:val="en-US" w:eastAsia="zh-CN"/>
      </w:rPr>
      <w:t>河间市诚芳建筑材料有限公司砂石骨料生产线技改项目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74361"/>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B22A9F"/>
    <w:rsid w:val="0CBA59D4"/>
    <w:rsid w:val="0CC422C7"/>
    <w:rsid w:val="0CDF727F"/>
    <w:rsid w:val="0CFE7CDC"/>
    <w:rsid w:val="0D045D89"/>
    <w:rsid w:val="0D120A11"/>
    <w:rsid w:val="0D167CDE"/>
    <w:rsid w:val="0D205B9F"/>
    <w:rsid w:val="0D253AE2"/>
    <w:rsid w:val="0D2F09FB"/>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5301C"/>
    <w:rsid w:val="113B37A1"/>
    <w:rsid w:val="114B6CE9"/>
    <w:rsid w:val="115734F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40D24"/>
    <w:rsid w:val="30EB2330"/>
    <w:rsid w:val="30F1289A"/>
    <w:rsid w:val="30F725A1"/>
    <w:rsid w:val="31104E38"/>
    <w:rsid w:val="311528A0"/>
    <w:rsid w:val="311C7640"/>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A6695"/>
    <w:rsid w:val="34B22CE7"/>
    <w:rsid w:val="34C2437D"/>
    <w:rsid w:val="34C63F34"/>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27A27"/>
    <w:rsid w:val="39121828"/>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847E1B"/>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C5A0E"/>
    <w:rsid w:val="40BF2FB2"/>
    <w:rsid w:val="40BF56B4"/>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A5A61"/>
    <w:rsid w:val="537307EF"/>
    <w:rsid w:val="53815422"/>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5E5D36"/>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7061BC"/>
    <w:rsid w:val="5E830714"/>
    <w:rsid w:val="5E852A0D"/>
    <w:rsid w:val="5E947676"/>
    <w:rsid w:val="5E9D0C97"/>
    <w:rsid w:val="5EAA4D92"/>
    <w:rsid w:val="5ECE2A7B"/>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E091F"/>
    <w:rsid w:val="6CC251F9"/>
    <w:rsid w:val="6CC87309"/>
    <w:rsid w:val="6CEB2637"/>
    <w:rsid w:val="6CF75960"/>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02784"/>
    <w:rsid w:val="6E010466"/>
    <w:rsid w:val="6E0E70C5"/>
    <w:rsid w:val="6E114727"/>
    <w:rsid w:val="6E17056C"/>
    <w:rsid w:val="6E1E7680"/>
    <w:rsid w:val="6E203098"/>
    <w:rsid w:val="6E204D4A"/>
    <w:rsid w:val="6E2F7F30"/>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FB1CC9"/>
    <w:rsid w:val="720240C0"/>
    <w:rsid w:val="721644EE"/>
    <w:rsid w:val="722E7DDE"/>
    <w:rsid w:val="72435F7C"/>
    <w:rsid w:val="72506D75"/>
    <w:rsid w:val="725170B9"/>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CD4836"/>
    <w:rsid w:val="7CD65610"/>
    <w:rsid w:val="7CDE73E1"/>
    <w:rsid w:val="7CED1392"/>
    <w:rsid w:val="7CF74207"/>
    <w:rsid w:val="7CFB7376"/>
    <w:rsid w:val="7D13002B"/>
    <w:rsid w:val="7D2D13A8"/>
    <w:rsid w:val="7D2D6F2A"/>
    <w:rsid w:val="7D3126F3"/>
    <w:rsid w:val="7D35110B"/>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qFormat/>
    <w:uiPriority w:val="0"/>
    <w:pPr>
      <w:spacing w:line="480" w:lineRule="atLeast"/>
      <w:outlineLvl w:val="0"/>
    </w:pPr>
    <w:rPr>
      <w:rFonts w:ascii="宋体" w:hAnsi="宋体" w:eastAsia="宋体"/>
      <w:b/>
      <w:sz w:val="30"/>
      <w:szCs w:val="30"/>
    </w:rPr>
  </w:style>
  <w:style w:type="paragraph" w:styleId="5">
    <w:name w:val="heading 2"/>
    <w:basedOn w:val="4"/>
    <w:next w:val="1"/>
    <w:link w:val="40"/>
    <w:qFormat/>
    <w:uiPriority w:val="0"/>
    <w:pPr>
      <w:outlineLvl w:val="1"/>
    </w:pPr>
    <w:rPr>
      <w:sz w:val="28"/>
    </w:rPr>
  </w:style>
  <w:style w:type="paragraph" w:styleId="6">
    <w:name w:val="heading 3"/>
    <w:basedOn w:val="1"/>
    <w:next w:val="1"/>
    <w:link w:val="41"/>
    <w:qFormat/>
    <w:uiPriority w:val="0"/>
    <w:pPr>
      <w:spacing w:line="480" w:lineRule="atLeast"/>
      <w:outlineLvl w:val="2"/>
    </w:pPr>
    <w:rPr>
      <w:rFonts w:ascii="宋体" w:hAnsi="宋体" w:eastAsia="宋体"/>
      <w:sz w:val="24"/>
      <w:szCs w:val="24"/>
    </w:rPr>
  </w:style>
  <w:style w:type="paragraph" w:styleId="3">
    <w:name w:val="heading 4"/>
    <w:basedOn w:val="1"/>
    <w:next w:val="2"/>
    <w:link w:val="4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68"/>
    <w:qFormat/>
    <w:uiPriority w:val="0"/>
    <w:pPr>
      <w:ind w:firstLine="420" w:firstLineChars="200"/>
    </w:pPr>
    <w:rPr>
      <w:rFonts w:eastAsia="宋体"/>
      <w:szCs w:val="24"/>
    </w:rPr>
  </w:style>
  <w:style w:type="paragraph" w:styleId="7">
    <w:name w:val="caption"/>
    <w:basedOn w:val="1"/>
    <w:next w:val="1"/>
    <w:link w:val="69"/>
    <w:qFormat/>
    <w:uiPriority w:val="0"/>
    <w:pPr>
      <w:jc w:val="center"/>
    </w:pPr>
    <w:rPr>
      <w:rFonts w:ascii="宋体" w:hAnsi="Arial" w:eastAsia="宋体" w:cs="Arial"/>
    </w:rPr>
  </w:style>
  <w:style w:type="paragraph" w:styleId="8">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1"/>
    <w:qFormat/>
    <w:uiPriority w:val="0"/>
    <w:pPr>
      <w:jc w:val="left"/>
    </w:pPr>
    <w:rPr>
      <w:szCs w:val="24"/>
    </w:rPr>
  </w:style>
  <w:style w:type="paragraph" w:styleId="10">
    <w:name w:val="Body Text 3"/>
    <w:basedOn w:val="1"/>
    <w:link w:val="73"/>
    <w:qFormat/>
    <w:uiPriority w:val="0"/>
    <w:pPr>
      <w:spacing w:after="120"/>
    </w:pPr>
    <w:rPr>
      <w:rFonts w:ascii="Times New Roman" w:hAnsi="Times New Roman" w:eastAsia="宋体" w:cs="Times New Roman"/>
      <w:sz w:val="16"/>
      <w:szCs w:val="16"/>
    </w:rPr>
  </w:style>
  <w:style w:type="paragraph" w:styleId="11">
    <w:name w:val="Body Text"/>
    <w:basedOn w:val="1"/>
    <w:link w:val="77"/>
    <w:qFormat/>
    <w:uiPriority w:val="0"/>
    <w:rPr>
      <w:rFonts w:ascii="Times New Roman" w:hAnsi="Times New Roman" w:eastAsia="宋体" w:cs="Times New Roman"/>
      <w:sz w:val="32"/>
      <w:szCs w:val="20"/>
    </w:rPr>
  </w:style>
  <w:style w:type="paragraph" w:styleId="12">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3">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1"/>
    <w:qFormat/>
    <w:uiPriority w:val="0"/>
    <w:rPr>
      <w:rFonts w:ascii="宋体" w:hAnsi="Courier New" w:eastAsia="宋体"/>
    </w:rPr>
  </w:style>
  <w:style w:type="paragraph" w:styleId="16">
    <w:name w:val="Date"/>
    <w:basedOn w:val="1"/>
    <w:next w:val="1"/>
    <w:link w:val="44"/>
    <w:unhideWhenUsed/>
    <w:qFormat/>
    <w:uiPriority w:val="0"/>
    <w:pPr>
      <w:ind w:left="100" w:leftChars="2500"/>
    </w:pPr>
  </w:style>
  <w:style w:type="paragraph" w:styleId="17">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3"/>
    <w:unhideWhenUsed/>
    <w:qFormat/>
    <w:uiPriority w:val="0"/>
    <w:rPr>
      <w:sz w:val="18"/>
      <w:szCs w:val="18"/>
    </w:rPr>
  </w:style>
  <w:style w:type="paragraph" w:styleId="19">
    <w:name w:val="footer"/>
    <w:basedOn w:val="1"/>
    <w:link w:val="46"/>
    <w:unhideWhenUsed/>
    <w:qFormat/>
    <w:uiPriority w:val="99"/>
    <w:pPr>
      <w:tabs>
        <w:tab w:val="center" w:pos="4153"/>
        <w:tab w:val="right" w:pos="8306"/>
      </w:tabs>
      <w:snapToGrid w:val="0"/>
      <w:jc w:val="left"/>
    </w:pPr>
    <w:rPr>
      <w:sz w:val="18"/>
      <w:szCs w:val="18"/>
    </w:rPr>
  </w:style>
  <w:style w:type="paragraph" w:styleId="20">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2">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3">
    <w:name w:val="Body Text Indent 3"/>
    <w:basedOn w:val="1"/>
    <w:link w:val="80"/>
    <w:qFormat/>
    <w:uiPriority w:val="0"/>
    <w:pPr>
      <w:ind w:firstLine="540"/>
    </w:pPr>
    <w:rPr>
      <w:rFonts w:hint="eastAsia" w:ascii="宋体" w:hAnsi="Times New Roman" w:eastAsia="宋体" w:cs="Times New Roman"/>
      <w:sz w:val="28"/>
      <w:szCs w:val="20"/>
    </w:rPr>
  </w:style>
  <w:style w:type="paragraph" w:styleId="24">
    <w:name w:val="toc 2"/>
    <w:basedOn w:val="1"/>
    <w:next w:val="1"/>
    <w:unhideWhenUsed/>
    <w:qFormat/>
    <w:uiPriority w:val="39"/>
    <w:pPr>
      <w:ind w:left="420" w:leftChars="200"/>
    </w:pPr>
  </w:style>
  <w:style w:type="paragraph" w:styleId="25">
    <w:name w:val="Body Text 2"/>
    <w:basedOn w:val="1"/>
    <w:link w:val="82"/>
    <w:qFormat/>
    <w:uiPriority w:val="0"/>
    <w:rPr>
      <w:rFonts w:ascii="Times New Roman" w:hAnsi="Times New Roman" w:eastAsia="宋体" w:cs="Times New Roman"/>
      <w:szCs w:val="20"/>
    </w:rPr>
  </w:style>
  <w:style w:type="paragraph" w:styleId="2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7">
    <w:name w:val="index 1"/>
    <w:basedOn w:val="1"/>
    <w:next w:val="1"/>
    <w:qFormat/>
    <w:uiPriority w:val="0"/>
    <w:pPr>
      <w:spacing w:line="192" w:lineRule="auto"/>
      <w:jc w:val="center"/>
    </w:pPr>
    <w:rPr>
      <w:rFonts w:ascii="宋体" w:hAnsi="宋体" w:eastAsia="宋体" w:cs="Times New Roman"/>
      <w:szCs w:val="20"/>
    </w:rPr>
  </w:style>
  <w:style w:type="paragraph" w:styleId="28">
    <w:name w:val="annotation subject"/>
    <w:basedOn w:val="9"/>
    <w:next w:val="9"/>
    <w:link w:val="72"/>
    <w:qFormat/>
    <w:uiPriority w:val="0"/>
    <w:rPr>
      <w:b/>
      <w:bCs/>
    </w:rPr>
  </w:style>
  <w:style w:type="paragraph" w:styleId="29">
    <w:name w:val="Body Text First Indent"/>
    <w:basedOn w:val="11"/>
    <w:qFormat/>
    <w:uiPriority w:val="0"/>
    <w:pPr>
      <w:spacing w:after="120" w:line="240" w:lineRule="auto"/>
      <w:ind w:firstLine="420" w:firstLineChars="100"/>
    </w:pPr>
    <w:rPr>
      <w:sz w:val="28"/>
      <w:szCs w:val="24"/>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样式 正文文本 + 首行缩进:  2 字符"/>
    <w:basedOn w:val="11"/>
    <w:qFormat/>
    <w:uiPriority w:val="0"/>
    <w:pPr>
      <w:spacing w:line="480" w:lineRule="exact"/>
      <w:ind w:firstLine="480" w:firstLineChars="200"/>
    </w:pPr>
    <w:rPr>
      <w:rFonts w:ascii="宋体" w:hAnsi="宋体" w:eastAsia="宋体" w:cs="宋体"/>
      <w:sz w:val="24"/>
      <w:szCs w:val="20"/>
    </w:rPr>
  </w:style>
  <w:style w:type="character" w:customStyle="1" w:styleId="39">
    <w:name w:val="标题 1 Char"/>
    <w:basedOn w:val="32"/>
    <w:link w:val="4"/>
    <w:qFormat/>
    <w:uiPriority w:val="0"/>
    <w:rPr>
      <w:rFonts w:ascii="宋体" w:hAnsi="宋体" w:eastAsia="宋体"/>
      <w:b/>
      <w:sz w:val="30"/>
      <w:szCs w:val="30"/>
    </w:rPr>
  </w:style>
  <w:style w:type="character" w:customStyle="1" w:styleId="40">
    <w:name w:val="标题 2 Char"/>
    <w:basedOn w:val="32"/>
    <w:link w:val="5"/>
    <w:qFormat/>
    <w:uiPriority w:val="0"/>
    <w:rPr>
      <w:rFonts w:ascii="宋体" w:hAnsi="宋体" w:eastAsia="宋体"/>
      <w:b/>
      <w:sz w:val="28"/>
      <w:szCs w:val="30"/>
    </w:rPr>
  </w:style>
  <w:style w:type="character" w:customStyle="1" w:styleId="41">
    <w:name w:val="标题 3 Char"/>
    <w:basedOn w:val="32"/>
    <w:link w:val="6"/>
    <w:qFormat/>
    <w:uiPriority w:val="0"/>
    <w:rPr>
      <w:rFonts w:ascii="宋体" w:hAnsi="宋体" w:eastAsia="宋体"/>
      <w:sz w:val="24"/>
      <w:szCs w:val="24"/>
    </w:rPr>
  </w:style>
  <w:style w:type="character" w:customStyle="1" w:styleId="42">
    <w:name w:val="标题 4 Char"/>
    <w:basedOn w:val="32"/>
    <w:link w:val="3"/>
    <w:qFormat/>
    <w:uiPriority w:val="0"/>
    <w:rPr>
      <w:rFonts w:ascii="Arial" w:hAnsi="Arial" w:eastAsia="黑体" w:cs="Times New Roman"/>
      <w:b/>
      <w:bCs/>
      <w:sz w:val="28"/>
      <w:szCs w:val="28"/>
    </w:rPr>
  </w:style>
  <w:style w:type="character" w:customStyle="1" w:styleId="43">
    <w:name w:val="批注框文本 Char"/>
    <w:basedOn w:val="32"/>
    <w:link w:val="18"/>
    <w:qFormat/>
    <w:uiPriority w:val="0"/>
    <w:rPr>
      <w:sz w:val="18"/>
      <w:szCs w:val="18"/>
    </w:rPr>
  </w:style>
  <w:style w:type="character" w:customStyle="1" w:styleId="44">
    <w:name w:val="日期 Char"/>
    <w:basedOn w:val="32"/>
    <w:link w:val="16"/>
    <w:qFormat/>
    <w:uiPriority w:val="0"/>
  </w:style>
  <w:style w:type="character" w:customStyle="1" w:styleId="45">
    <w:name w:val="页眉 Char"/>
    <w:basedOn w:val="32"/>
    <w:link w:val="20"/>
    <w:qFormat/>
    <w:uiPriority w:val="0"/>
    <w:rPr>
      <w:sz w:val="18"/>
      <w:szCs w:val="18"/>
    </w:rPr>
  </w:style>
  <w:style w:type="character" w:customStyle="1" w:styleId="46">
    <w:name w:val="页脚 Char"/>
    <w:basedOn w:val="32"/>
    <w:link w:val="19"/>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9"/>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2"/>
    <w:qFormat/>
    <w:uiPriority w:val="0"/>
    <w:rPr>
      <w:rFonts w:eastAsia="宋体"/>
      <w:szCs w:val="24"/>
    </w:rPr>
  </w:style>
  <w:style w:type="character" w:customStyle="1" w:styleId="69">
    <w:name w:val="题注 Char"/>
    <w:basedOn w:val="32"/>
    <w:link w:val="7"/>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5"/>
    <w:qFormat/>
    <w:uiPriority w:val="0"/>
    <w:rPr>
      <w:rFonts w:ascii="宋体" w:hAnsi="Courier New" w:eastAsia="宋体"/>
    </w:rPr>
  </w:style>
  <w:style w:type="character" w:customStyle="1" w:styleId="72">
    <w:name w:val="批注主题 Char"/>
    <w:basedOn w:val="51"/>
    <w:link w:val="28"/>
    <w:qFormat/>
    <w:uiPriority w:val="0"/>
    <w:rPr>
      <w:b/>
      <w:bCs/>
      <w:szCs w:val="24"/>
    </w:rPr>
  </w:style>
  <w:style w:type="character" w:customStyle="1" w:styleId="73">
    <w:name w:val="正文文本 3 Char"/>
    <w:basedOn w:val="32"/>
    <w:link w:val="10"/>
    <w:qFormat/>
    <w:uiPriority w:val="0"/>
    <w:rPr>
      <w:rFonts w:ascii="Times New Roman" w:hAnsi="Times New Roman" w:eastAsia="宋体" w:cs="Times New Roman"/>
      <w:sz w:val="16"/>
      <w:szCs w:val="16"/>
    </w:rPr>
  </w:style>
  <w:style w:type="character" w:customStyle="1" w:styleId="74">
    <w:name w:val="文档结构图 Char"/>
    <w:basedOn w:val="32"/>
    <w:link w:val="8"/>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11"/>
    <w:qFormat/>
    <w:uiPriority w:val="0"/>
    <w:rPr>
      <w:rFonts w:ascii="Times New Roman" w:hAnsi="Times New Roman" w:eastAsia="宋体" w:cs="Times New Roman"/>
      <w:sz w:val="32"/>
      <w:szCs w:val="20"/>
    </w:rPr>
  </w:style>
  <w:style w:type="character" w:customStyle="1" w:styleId="78">
    <w:name w:val="正文文本缩进 Char"/>
    <w:basedOn w:val="32"/>
    <w:link w:val="12"/>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3"/>
    <w:qFormat/>
    <w:uiPriority w:val="0"/>
    <w:rPr>
      <w:rFonts w:ascii="宋体" w:hAnsi="Times New Roman" w:eastAsia="宋体" w:cs="Times New Roman"/>
      <w:sz w:val="28"/>
      <w:szCs w:val="20"/>
    </w:rPr>
  </w:style>
  <w:style w:type="character" w:customStyle="1" w:styleId="81">
    <w:name w:val="正文文本缩进 2 Char"/>
    <w:basedOn w:val="32"/>
    <w:link w:val="17"/>
    <w:qFormat/>
    <w:uiPriority w:val="0"/>
    <w:rPr>
      <w:rFonts w:ascii="Times New Roman" w:hAnsi="Times New Roman" w:eastAsia="宋体" w:cs="Times New Roman"/>
      <w:sz w:val="28"/>
      <w:szCs w:val="20"/>
    </w:rPr>
  </w:style>
  <w:style w:type="character" w:customStyle="1" w:styleId="82">
    <w:name w:val="正文文本 2 Char"/>
    <w:basedOn w:val="32"/>
    <w:link w:val="25"/>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85"/>
    <w:next w:val="85"/>
    <w:qFormat/>
    <w:uiPriority w:val="0"/>
    <w:pPr>
      <w:spacing w:line="626" w:lineRule="atLeast"/>
    </w:pPr>
    <w:rPr>
      <w:rFonts w:hAnsi="Times New Roman" w:cs="Times New Roman"/>
      <w:color w:val="auto"/>
    </w:rPr>
  </w:style>
  <w:style w:type="paragraph" w:customStyle="1" w:styleId="85">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6">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7">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8">
    <w:name w:val="p0"/>
    <w:basedOn w:val="1"/>
    <w:qFormat/>
    <w:uiPriority w:val="0"/>
    <w:pPr>
      <w:widowControl/>
    </w:pPr>
    <w:rPr>
      <w:rFonts w:hint="eastAsia" w:ascii="Times New Roman" w:hAnsi="Times New Roman" w:eastAsia="宋体" w:cs="Times New Roman"/>
      <w:sz w:val="24"/>
      <w:szCs w:val="24"/>
    </w:rPr>
  </w:style>
  <w:style w:type="paragraph" w:customStyle="1" w:styleId="89">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0">
    <w:name w:val="CM3"/>
    <w:basedOn w:val="85"/>
    <w:next w:val="85"/>
    <w:qFormat/>
    <w:uiPriority w:val="0"/>
    <w:pPr>
      <w:spacing w:line="468" w:lineRule="atLeast"/>
    </w:pPr>
    <w:rPr>
      <w:rFonts w:hAnsi="Times New Roman" w:cs="Times New Roman"/>
      <w:color w:val="auto"/>
    </w:rPr>
  </w:style>
  <w:style w:type="paragraph" w:customStyle="1" w:styleId="91">
    <w:name w:val="CM7"/>
    <w:basedOn w:val="85"/>
    <w:next w:val="85"/>
    <w:qFormat/>
    <w:uiPriority w:val="0"/>
    <w:pPr>
      <w:spacing w:line="471" w:lineRule="atLeast"/>
    </w:pPr>
    <w:rPr>
      <w:rFonts w:hAnsi="Times New Roman" w:cs="Times New Roman"/>
      <w:color w:val="auto"/>
    </w:rPr>
  </w:style>
  <w:style w:type="paragraph" w:customStyle="1" w:styleId="92">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3">
    <w:name w:val="CM8"/>
    <w:basedOn w:val="85"/>
    <w:next w:val="85"/>
    <w:qFormat/>
    <w:uiPriority w:val="0"/>
    <w:pPr>
      <w:spacing w:line="436" w:lineRule="atLeast"/>
    </w:pPr>
    <w:rPr>
      <w:rFonts w:ascii="仿宋_GB2312" w:hAnsi="Times New Roman" w:eastAsia="仿宋_GB2312" w:cs="Times New Roman"/>
      <w:color w:val="auto"/>
    </w:rPr>
  </w:style>
  <w:style w:type="paragraph" w:customStyle="1" w:styleId="94">
    <w:name w:val="Char1"/>
    <w:basedOn w:val="1"/>
    <w:qFormat/>
    <w:uiPriority w:val="0"/>
    <w:rPr>
      <w:rFonts w:ascii="Times New Roman" w:hAnsi="Times New Roman" w:eastAsia="宋体" w:cs="Times New Roman"/>
      <w:szCs w:val="24"/>
    </w:rPr>
  </w:style>
  <w:style w:type="paragraph" w:customStyle="1" w:styleId="95">
    <w:name w:val="2.1.1"/>
    <w:basedOn w:val="1"/>
    <w:qFormat/>
    <w:uiPriority w:val="0"/>
    <w:rPr>
      <w:rFonts w:ascii="Times New Roman" w:hAnsi="Times New Roman" w:eastAsia="宋体" w:cs="Times New Roman"/>
      <w:sz w:val="24"/>
      <w:szCs w:val="24"/>
    </w:rPr>
  </w:style>
  <w:style w:type="paragraph" w:customStyle="1" w:styleId="96">
    <w:name w:val="Char Char Char Char Char Char Char"/>
    <w:basedOn w:val="1"/>
    <w:qFormat/>
    <w:uiPriority w:val="0"/>
    <w:rPr>
      <w:rFonts w:ascii="Times New Roman" w:hAnsi="Times New Roman" w:eastAsia="宋体" w:cs="Times New Roman"/>
      <w:szCs w:val="24"/>
    </w:rPr>
  </w:style>
  <w:style w:type="paragraph" w:customStyle="1" w:styleId="97">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8">
    <w:name w:val="CM112"/>
    <w:basedOn w:val="85"/>
    <w:next w:val="85"/>
    <w:qFormat/>
    <w:uiPriority w:val="0"/>
    <w:rPr>
      <w:rFonts w:ascii="仿宋_GB2312" w:hAnsi="Times New Roman" w:eastAsia="仿宋_GB2312" w:cs="Times New Roman"/>
      <w:color w:val="auto"/>
    </w:rPr>
  </w:style>
  <w:style w:type="paragraph" w:customStyle="1" w:styleId="99">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0">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1">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2">
    <w:name w:val="大田正文"/>
    <w:basedOn w:val="12"/>
    <w:qFormat/>
    <w:uiPriority w:val="0"/>
    <w:pPr>
      <w:spacing w:line="500" w:lineRule="exact"/>
      <w:ind w:firstLine="567"/>
    </w:pPr>
    <w:rPr>
      <w:sz w:val="28"/>
      <w:szCs w:val="20"/>
    </w:rPr>
  </w:style>
  <w:style w:type="paragraph" w:customStyle="1" w:styleId="103">
    <w:name w:val="CM51"/>
    <w:basedOn w:val="85"/>
    <w:next w:val="85"/>
    <w:qFormat/>
    <w:uiPriority w:val="0"/>
    <w:rPr>
      <w:rFonts w:hAnsi="Times New Roman" w:cs="Times New Roman"/>
      <w:color w:val="auto"/>
    </w:rPr>
  </w:style>
  <w:style w:type="paragraph" w:styleId="104">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5">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6">
    <w:name w:val="4"/>
    <w:basedOn w:val="1"/>
    <w:next w:val="15"/>
    <w:qFormat/>
    <w:uiPriority w:val="0"/>
    <w:rPr>
      <w:rFonts w:ascii="宋体" w:hAnsi="Courier New" w:eastAsia="宋体" w:cs="Courier New"/>
      <w:szCs w:val="21"/>
    </w:rPr>
  </w:style>
  <w:style w:type="paragraph" w:customStyle="1" w:styleId="107">
    <w:name w:val="CM5"/>
    <w:basedOn w:val="85"/>
    <w:next w:val="85"/>
    <w:qFormat/>
    <w:uiPriority w:val="0"/>
    <w:pPr>
      <w:spacing w:line="436" w:lineRule="atLeast"/>
    </w:pPr>
    <w:rPr>
      <w:rFonts w:ascii="仿宋_GB2312" w:hAnsi="Times New Roman" w:eastAsia="仿宋_GB2312" w:cs="Times New Roman"/>
      <w:color w:val="auto"/>
    </w:rPr>
  </w:style>
  <w:style w:type="paragraph" w:customStyle="1" w:styleId="108">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9">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0">
    <w:name w:val="三级标题"/>
    <w:basedOn w:val="1"/>
    <w:qFormat/>
    <w:uiPriority w:val="0"/>
    <w:pPr>
      <w:spacing w:line="360" w:lineRule="auto"/>
    </w:pPr>
    <w:rPr>
      <w:rFonts w:ascii="宋体" w:hAnsi="宋体" w:eastAsia="宋体" w:cs="Times New Roman"/>
      <w:bCs/>
      <w:sz w:val="24"/>
      <w:szCs w:val="24"/>
    </w:rPr>
  </w:style>
  <w:style w:type="paragraph" w:customStyle="1" w:styleId="111">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2">
    <w:name w:val="默认段落字体 Para Char Char Char Char"/>
    <w:basedOn w:val="1"/>
    <w:qFormat/>
    <w:uiPriority w:val="0"/>
    <w:rPr>
      <w:rFonts w:ascii="Times New Roman" w:hAnsi="Times New Roman" w:eastAsia="宋体" w:cs="Times New Roman"/>
      <w:szCs w:val="21"/>
    </w:rPr>
  </w:style>
  <w:style w:type="paragraph" w:customStyle="1" w:styleId="113">
    <w:name w:val="CM40"/>
    <w:basedOn w:val="85"/>
    <w:next w:val="85"/>
    <w:qFormat/>
    <w:uiPriority w:val="0"/>
    <w:rPr>
      <w:rFonts w:hAnsi="Times New Roman" w:cs="Times New Roman"/>
      <w:color w:val="auto"/>
    </w:rPr>
  </w:style>
  <w:style w:type="paragraph" w:customStyle="1" w:styleId="114">
    <w:name w:val="CM109"/>
    <w:basedOn w:val="85"/>
    <w:next w:val="85"/>
    <w:qFormat/>
    <w:uiPriority w:val="0"/>
    <w:rPr>
      <w:rFonts w:ascii="仿宋_GB2312" w:hAnsi="Times New Roman" w:eastAsia="仿宋_GB2312" w:cs="Times New Roman"/>
      <w:color w:val="auto"/>
    </w:rPr>
  </w:style>
  <w:style w:type="paragraph" w:customStyle="1" w:styleId="115">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6">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7">
    <w:name w:val="List Paragraph1"/>
    <w:basedOn w:val="1"/>
    <w:qFormat/>
    <w:uiPriority w:val="99"/>
    <w:pPr>
      <w:ind w:firstLine="420" w:firstLineChars="200"/>
    </w:pPr>
    <w:rPr>
      <w:rFonts w:ascii="Calibri" w:hAnsi="Calibri" w:eastAsia="宋体" w:cs="Times New Roman"/>
    </w:rPr>
  </w:style>
  <w:style w:type="table" w:customStyle="1" w:styleId="118">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19">
    <w:name w:val="列出段落1"/>
    <w:basedOn w:val="1"/>
    <w:qFormat/>
    <w:uiPriority w:val="34"/>
    <w:pPr>
      <w:ind w:firstLine="420" w:firstLineChars="200"/>
    </w:pPr>
  </w:style>
  <w:style w:type="paragraph" w:customStyle="1" w:styleId="120">
    <w:name w:val="Body text|2"/>
    <w:basedOn w:val="1"/>
    <w:link w:val="122"/>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1">
    <w:name w:val="Body text|2 + Spacing 1 pt"/>
    <w:basedOn w:val="122"/>
    <w:semiHidden/>
    <w:unhideWhenUsed/>
    <w:qFormat/>
    <w:uiPriority w:val="0"/>
    <w:rPr>
      <w:color w:val="000000"/>
      <w:spacing w:val="30"/>
      <w:w w:val="100"/>
      <w:position w:val="0"/>
      <w:lang w:val="zh-CN" w:eastAsia="zh-CN" w:bidi="zh-CN"/>
    </w:rPr>
  </w:style>
  <w:style w:type="character" w:customStyle="1" w:styleId="122">
    <w:name w:val="Body text|2_"/>
    <w:basedOn w:val="32"/>
    <w:link w:val="120"/>
    <w:qFormat/>
    <w:uiPriority w:val="0"/>
    <w:rPr>
      <w:rFonts w:ascii="PMingLiU" w:hAnsi="PMingLiU" w:eastAsia="PMingLiU" w:cs="PMingLiU"/>
      <w:sz w:val="22"/>
      <w:szCs w:val="22"/>
      <w:u w:val="none"/>
    </w:rPr>
  </w:style>
  <w:style w:type="paragraph" w:customStyle="1" w:styleId="123">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5">
    <w:name w:val="表格正文"/>
    <w:basedOn w:val="1"/>
    <w:qFormat/>
    <w:uiPriority w:val="0"/>
    <w:pPr>
      <w:spacing w:line="360" w:lineRule="exact"/>
      <w:jc w:val="center"/>
    </w:pPr>
  </w:style>
  <w:style w:type="paragraph" w:customStyle="1" w:styleId="126">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7">
    <w:name w:val="Table Paragraph"/>
    <w:basedOn w:val="1"/>
    <w:qFormat/>
    <w:uiPriority w:val="1"/>
    <w:rPr>
      <w:rFonts w:ascii="宋体" w:hAnsi="宋体" w:eastAsia="宋体" w:cs="宋体"/>
      <w:lang w:val="zh-CN" w:eastAsia="zh-CN" w:bidi="zh-CN"/>
    </w:rPr>
  </w:style>
  <w:style w:type="paragraph" w:customStyle="1" w:styleId="128">
    <w:name w:val="书正文"/>
    <w:basedOn w:val="1"/>
    <w:qFormat/>
    <w:uiPriority w:val="0"/>
    <w:pPr>
      <w:spacing w:line="500" w:lineRule="exact"/>
      <w:ind w:firstLine="640" w:firstLineChars="200"/>
    </w:pPr>
  </w:style>
  <w:style w:type="paragraph" w:customStyle="1" w:styleId="129">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0">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1">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2">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1"/>
    <customShpInfo spid="_x0000_s119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3</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2022-07-09T08:15:38Z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2DD0601DC74D453DA8F802A73678D168</vt:lpwstr>
  </property>
</Properties>
</file>