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HBBQBLXWZPYXGS001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河北博清玻璃纤维制品有限公司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网格布生产线技改项目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河北博清玻璃纤维制品有限公司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河北博清玻璃纤维制品有限公司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10</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8"/>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8"/>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8"/>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8"/>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8"/>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4.1建设项目环评报告</w:t>
          </w:r>
          <w:r>
            <w:rPr>
              <w:rStyle w:val="38"/>
              <w:rFonts w:hint="eastAsia" w:ascii="Times New Roman" w:hAnsi="Times New Roman" w:eastAsia="宋体" w:cs="Times New Roman"/>
              <w:sz w:val="24"/>
              <w:szCs w:val="24"/>
              <w:lang w:val="en-US" w:eastAsia="zh-CN"/>
            </w:rPr>
            <w:t>表</w:t>
          </w:r>
          <w:r>
            <w:rPr>
              <w:rStyle w:val="38"/>
              <w:rFonts w:hint="default" w:ascii="Times New Roman" w:hAnsi="Times New Roman" w:eastAsia="宋体" w:cs="Times New Roman"/>
              <w:sz w:val="24"/>
              <w:szCs w:val="24"/>
            </w:rPr>
            <w:t>的主要结论</w:t>
          </w:r>
          <w:r>
            <w:rPr>
              <w:rStyle w:val="38"/>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8"/>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8"/>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8"/>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18</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8"/>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8"/>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8"/>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bookmarkStart w:id="128" w:name="_GoBack"/>
      <w:bookmarkEnd w:id="128"/>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6"/>
        <w:jc w:val="center"/>
        <w:rPr>
          <w:rFonts w:hint="default" w:ascii="Times New Roman" w:hAnsi="Times New Roman" w:cs="Times New Roman"/>
        </w:rPr>
      </w:pPr>
      <w:bookmarkStart w:id="2" w:name="_Toc504325317"/>
    </w:p>
    <w:p>
      <w:pPr>
        <w:pStyle w:val="6"/>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6"/>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河北博清玻璃纤维制品有限公司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河间市卧佛堂镇东告村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20万元建设网格布生产线技改项目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2022年07月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河北博清玻璃纤维制品有限公司网格布生产线技改项目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2022年07月21日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河环表[2022]（07-16）号。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河北博清玻璃纤维制品有限公司网格布生产线技改项目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河北博清玻璃纤维制品有限公司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2022年09月19日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2022年09月20日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河北博清玻璃纤维制品有限公司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6"/>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7"/>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7"/>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《大气污染物综合排放标准》（GB16297-1996）；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r>
        <w:rPr>
          <w:rFonts w:hint="eastAsia" w:ascii="Times New Roman" w:hAnsi="Times New Roman" w:eastAsia="宋体" w:cs="Times New Roman"/>
          <w:kern w:val="2"/>
          <w:sz w:val="24"/>
          <w:szCs w:val="24"/>
          <w:lang w:val="en-US" w:eastAsia="zh-CN" w:bidi="ar-SA"/>
        </w:rPr>
        <w:t>《工业炉窑大气污染物排放标准》（DB13/ 1640-2012）；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（12）《工业炉窑大气污染综合治理方案》（环大气[2019]56号）；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（14）《挥发性有机物无组织排放控制标准》（GB 37822-2019）；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（15）《恶臭污染物排放标准》（GB14554-1993）；</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16</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（17）</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7"/>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河北博清玻璃纤维制品有限公司网格布生产线技改项目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2022年07月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河北博清玻璃纤维制品有限公司网格布生产线技改项目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河环表[2022]（07-16）号，2022年07月21日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网格布生产线技改项目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河北博清玻璃纤维制品有限公司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张晓颖</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张晓颖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河间市卧佛堂镇东告村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17331763302</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C3061玻璃纤维及制品制造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河间市卧佛堂镇东告村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504325325"/>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河间市卧佛堂镇东告村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12.61</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13.23</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7001438"/>
      <w:bookmarkStart w:id="17" w:name="_Toc496979002"/>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年产网格布2000万平方米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079"/>
        <w:gridCol w:w="1529"/>
        <w:gridCol w:w="1404"/>
        <w:gridCol w:w="1197"/>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079"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404" w:type="dxa"/>
            <w:vAlign w:val="center"/>
          </w:tcPr>
          <w:p>
            <w:pPr>
              <w:widowControl/>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现有工程</w:t>
            </w:r>
          </w:p>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197" w:type="dxa"/>
            <w:vAlign w:val="center"/>
          </w:tcPr>
          <w:p>
            <w:pPr>
              <w:widowControl/>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技改工程</w:t>
            </w:r>
          </w:p>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079" w:type="dxa"/>
            <w:vAlign w:val="center"/>
          </w:tcPr>
          <w:p>
            <w:pPr>
              <w:pStyle w:val="134"/>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网格布坯布</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万m</w:t>
            </w:r>
            <w:r>
              <w:rPr>
                <w:rFonts w:hint="eastAsia" w:ascii="Times New Roman" w:hAnsi="Times New Roman" w:eastAsia="宋体" w:cs="Times New Roman"/>
                <w:color w:val="auto"/>
                <w:kern w:val="2"/>
                <w:szCs w:val="21"/>
                <w:highlight w:val="none"/>
                <w:vertAlign w:val="superscript"/>
                <w:lang w:val="en-US" w:eastAsia="zh-CN"/>
              </w:rPr>
              <w:t>2</w:t>
            </w:r>
            <w:r>
              <w:rPr>
                <w:rFonts w:hint="eastAsia" w:ascii="Times New Roman" w:hAnsi="Times New Roman" w:eastAsia="宋体" w:cs="Times New Roman"/>
                <w:color w:val="auto"/>
                <w:kern w:val="2"/>
                <w:szCs w:val="21"/>
                <w:highlight w:val="none"/>
                <w:lang w:val="en-US" w:eastAsia="zh-CN"/>
              </w:rPr>
              <w:t>/</w:t>
            </w:r>
            <w:r>
              <w:rPr>
                <w:rFonts w:hint="default" w:ascii="Times New Roman" w:hAnsi="Times New Roman" w:eastAsia="宋体" w:cs="Times New Roman"/>
                <w:color w:val="auto"/>
                <w:kern w:val="2"/>
                <w:szCs w:val="21"/>
                <w:highlight w:val="none"/>
              </w:rPr>
              <w:t>a</w:t>
            </w:r>
          </w:p>
        </w:tc>
        <w:tc>
          <w:tcPr>
            <w:tcW w:w="1404"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2000</w:t>
            </w:r>
          </w:p>
        </w:tc>
        <w:tc>
          <w:tcPr>
            <w:tcW w:w="1197"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079" w:type="dxa"/>
            <w:vAlign w:val="center"/>
          </w:tcPr>
          <w:p>
            <w:pPr>
              <w:pStyle w:val="134"/>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定型胶</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404"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320</w:t>
            </w:r>
          </w:p>
        </w:tc>
        <w:tc>
          <w:tcPr>
            <w:tcW w:w="1197"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新鲜水</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m³/a</w:t>
            </w:r>
          </w:p>
        </w:tc>
        <w:tc>
          <w:tcPr>
            <w:tcW w:w="1404"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1197"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079" w:type="dxa"/>
            <w:vAlign w:val="center"/>
          </w:tcPr>
          <w:p>
            <w:pPr>
              <w:widowControl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电</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万 kWh/a</w:t>
            </w:r>
          </w:p>
        </w:tc>
        <w:tc>
          <w:tcPr>
            <w:tcW w:w="1404"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197"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079" w:type="dxa"/>
            <w:vAlign w:val="center"/>
          </w:tcPr>
          <w:p>
            <w:pPr>
              <w:pStyle w:val="134"/>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天然气</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万m³/a</w:t>
            </w:r>
          </w:p>
        </w:tc>
        <w:tc>
          <w:tcPr>
            <w:tcW w:w="1404"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197"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r>
    </w:tbl>
    <w:p>
      <w:pPr>
        <w:pStyle w:val="8"/>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技改项目环保设施措施内容</w:t>
      </w:r>
      <w:r>
        <w:rPr>
          <w:rFonts w:hint="default" w:ascii="Times New Roman" w:hAnsi="Times New Roman" w:eastAsia="宋体" w:cs="Times New Roman"/>
          <w:sz w:val="24"/>
          <w:szCs w:val="24"/>
        </w:rPr>
        <w:t>情</w:t>
      </w:r>
      <w:r>
        <w:rPr>
          <w:rFonts w:hint="default" w:ascii="Times New Roman" w:hAnsi="Times New Roman" w:eastAsia="宋体" w:cs="Times New Roman"/>
          <w:sz w:val="24"/>
          <w:szCs w:val="24"/>
        </w:rPr>
        <w:t>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技改项目环保设施措施内容</w:t>
      </w:r>
      <w:r>
        <w:rPr>
          <w:rFonts w:hint="default" w:ascii="Times New Roman" w:hAnsi="Times New Roman" w:eastAsia="宋体" w:cs="Times New Roman"/>
          <w:b/>
          <w:bCs/>
          <w:sz w:val="24"/>
          <w:szCs w:val="24"/>
        </w:rPr>
        <w:t>一览表</w:t>
      </w:r>
    </w:p>
    <w:tbl>
      <w:tblPr>
        <w:tblStyle w:val="3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环保设施措施内容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废气</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技改项目烤布炉废气收集后，依托现有工程废气治理设施（冷 凝+电捕集+活性炭吸附）处理，处理后废气通过 1 根 15m 高排气筒排放</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废水</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技改项目无新增废水产生及排放</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噪声</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基础减振、厂房隔声等措施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固废</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技改项目危险废物为电捕过程产生的废胶和活性炭吸附装置产生的废活性炭，于危废间暂存，定期交有资质单位处置</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风险</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储备应急物资若干</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环境管理</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按规定申领排污许可证，编制台账、执行报告等</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950"/>
        <w:gridCol w:w="1980"/>
        <w:gridCol w:w="1827"/>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195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198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827"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2033"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烤布炉</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518" w:type="dxa"/>
            <w:gridSpan w:val="5"/>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技改完成后全厂主要生产设备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烤布炉</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7（天然气烤布炉，技改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更换其中 1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收卷机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14</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14</w:t>
            </w:r>
          </w:p>
        </w:tc>
      </w:tr>
    </w:tbl>
    <w:p>
      <w:pPr>
        <w:pStyle w:val="7"/>
        <w:rPr>
          <w:rFonts w:hint="default" w:ascii="Times New Roman" w:hAnsi="Times New Roman" w:cs="Times New Roman"/>
          <w:color w:val="000000"/>
        </w:rPr>
      </w:pPr>
      <w:bookmarkStart w:id="24" w:name="_Toc504325332"/>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-24765</wp:posOffset>
            </wp:positionH>
            <wp:positionV relativeFrom="paragraph">
              <wp:posOffset>131445</wp:posOffset>
            </wp:positionV>
            <wp:extent cx="5669915" cy="2169795"/>
            <wp:effectExtent l="0" t="0" r="6985"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69915" cy="216979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3"/>
        <w:rPr>
          <w:rFonts w:hint="eastAsia"/>
          <w:lang w:eastAsia="zh-CN"/>
        </w:rPr>
      </w:pPr>
    </w:p>
    <w:p>
      <w:pPr>
        <w:rPr>
          <w:rFonts w:hint="eastAsia"/>
          <w:lang w:eastAsia="zh-CN"/>
        </w:rPr>
      </w:pPr>
    </w:p>
    <w:p>
      <w:pPr>
        <w:pStyle w:val="2"/>
        <w:rPr>
          <w:rFonts w:hint="eastAsia"/>
          <w:lang w:eastAsia="zh-CN"/>
        </w:rPr>
      </w:pPr>
    </w:p>
    <w:p>
      <w:pPr>
        <w:pStyle w:val="23"/>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技改后全厂工艺流程为：网格布坯布经烤布机尾传送至胶槽，进行涂胶工序，再经传送装置送至烤布炉进行烘干定型，烘干定型温度为 180℃，烤布炉采用天然气加热；烘干定型后经传送装置送至收卷机进行切边、收卷，检验合格后的网格布包装入库。项目用定型胶由企业设置吨桶储存，原料厂家定期补充，不产生废胶桶。</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每天一班，每班6小时</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排水：技改项目无新增生产废水；无新增劳动定员，不新增职工生活污水；技改后，全厂废水为废气治理设施产生的冷凝水，回用于涂胶工序，不外排，职工生活污水排入厂区防渗旱厕，定期清掏，不外排</w:t>
      </w:r>
      <w:r>
        <w:rPr>
          <w:rFonts w:hint="eastAsia"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由当地供电电网供给</w:t>
      </w:r>
      <w:r>
        <w:rPr>
          <w:rFonts w:hint="default" w:ascii="Times New Roman" w:hAnsi="Times New Roman" w:eastAsia="宋体" w:cs="Times New Roman"/>
          <w:szCs w:val="21"/>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于2022年07月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2022年07月21日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河环表[2022]（07-16）号</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88"/>
        <w:gridCol w:w="1253"/>
        <w:gridCol w:w="7"/>
        <w:gridCol w:w="1791"/>
        <w:gridCol w:w="10"/>
        <w:gridCol w:w="2317"/>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7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3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88" w:type="dxa"/>
            <w:vMerge w:val="restart"/>
            <w:tcBorders>
              <w:tl2br w:val="nil"/>
              <w:tr2bl w:val="nil"/>
            </w:tcBorders>
            <w:noWrap w:val="0"/>
            <w:vAlign w:val="center"/>
          </w:tcPr>
          <w:p>
            <w:pPr>
              <w:widowControl/>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废气总排放</w:t>
            </w:r>
          </w:p>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口/DA001</w:t>
            </w: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1798" w:type="dxa"/>
            <w:gridSpan w:val="2"/>
            <w:vMerge w:val="restart"/>
            <w:tcBorders>
              <w:tl2br w:val="nil"/>
              <w:tr2bl w:val="nil"/>
            </w:tcBorders>
            <w:noWrap w:val="0"/>
            <w:vAlign w:val="center"/>
          </w:tcPr>
          <w:p>
            <w:pPr>
              <w:pStyle w:val="135"/>
              <w:snapToGrid w:val="0"/>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集气装置+冷 凝+电捕集+活</w:t>
            </w:r>
          </w:p>
          <w:p>
            <w:pPr>
              <w:pStyle w:val="135"/>
              <w:snapToGrid w:val="0"/>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性炭吸附+15m</w:t>
            </w:r>
          </w:p>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高排气筒</w:t>
            </w:r>
          </w:p>
        </w:tc>
        <w:tc>
          <w:tcPr>
            <w:tcW w:w="2327" w:type="dxa"/>
            <w:gridSpan w:val="2"/>
            <w:vMerge w:val="restart"/>
            <w:tcBorders>
              <w:tl2br w:val="nil"/>
              <w:tr2bl w:val="nil"/>
            </w:tcBorders>
            <w:noWrap w:val="0"/>
            <w:vAlign w:val="center"/>
          </w:tcPr>
          <w:p>
            <w:pPr>
              <w:pStyle w:val="134"/>
              <w:adjustRightInd/>
              <w:spacing w:line="240" w:lineRule="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河北省《工业炉窑大气污染物排放标准》(DB13 1640—2012)及</w:t>
            </w:r>
          </w:p>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《工业炉窑大气污染综合治理方案》(环大气[2019]56号)</w:t>
            </w:r>
          </w:p>
        </w:tc>
        <w:tc>
          <w:tcPr>
            <w:tcW w:w="10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二氧化硫</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vMerge w:val="continue"/>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氮氧化物</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vMerge w:val="continue"/>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烟气黑度</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vMerge w:val="continue"/>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《工业企业挥发性有机物排放控制标准》(DB13/2322 -2016)表1其他行业</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甲醛</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《大气污染物综合排放标准》（GB16297-1996）表2二级标准</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53" w:type="dxa"/>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w:t>
            </w:r>
          </w:p>
        </w:tc>
        <w:tc>
          <w:tcPr>
            <w:tcW w:w="1798" w:type="dxa"/>
            <w:gridSpan w:val="2"/>
            <w:vMerge w:val="continue"/>
            <w:tcBorders>
              <w:tl2br w:val="nil"/>
              <w:tr2bl w:val="nil"/>
            </w:tcBorders>
            <w:noWrap w:val="0"/>
            <w:vAlign w:val="center"/>
          </w:tcPr>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p>
        </w:tc>
        <w:tc>
          <w:tcPr>
            <w:tcW w:w="2327" w:type="dxa"/>
            <w:gridSpan w:val="2"/>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《恶臭污染物排放标准》（GB14553-93）表2标准</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restart"/>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无组织废气</w:t>
            </w:r>
          </w:p>
        </w:tc>
        <w:tc>
          <w:tcPr>
            <w:tcW w:w="1260" w:type="dxa"/>
            <w:gridSpan w:val="2"/>
            <w:vMerge w:val="restart"/>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非甲烷总烃</w:t>
            </w:r>
          </w:p>
        </w:tc>
        <w:tc>
          <w:tcPr>
            <w:tcW w:w="1801" w:type="dxa"/>
            <w:gridSpan w:val="2"/>
            <w:vMerge w:val="restart"/>
            <w:tcBorders>
              <w:tl2br w:val="nil"/>
              <w:tr2bl w:val="nil"/>
            </w:tcBorders>
            <w:noWrap w:val="0"/>
            <w:vAlign w:val="center"/>
          </w:tcPr>
          <w:p>
            <w:pPr>
              <w:pStyle w:val="135"/>
              <w:snapToGrid w:val="0"/>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加强管理，提</w:t>
            </w:r>
          </w:p>
          <w:p>
            <w:pPr>
              <w:pStyle w:val="135"/>
              <w:snapToGrid w:val="0"/>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高废气收集效率</w:t>
            </w:r>
          </w:p>
        </w:tc>
        <w:tc>
          <w:tcPr>
            <w:tcW w:w="2317" w:type="dxa"/>
            <w:tcBorders>
              <w:tl2br w:val="nil"/>
              <w:tr2bl w:val="nil"/>
            </w:tcBorders>
            <w:noWrap w:val="0"/>
            <w:vAlign w:val="center"/>
          </w:tcPr>
          <w:p>
            <w:pPr>
              <w:pStyle w:val="134"/>
              <w:adjustRightInd/>
              <w:spacing w:line="240" w:lineRule="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《工业企业挥发性有机物排放控制标准》（DB13/2322-2016）中表2其他企业边界大气污染物</w:t>
            </w:r>
          </w:p>
          <w:p>
            <w:pPr>
              <w:pStyle w:val="134"/>
              <w:adjustRightInd/>
              <w:spacing w:line="240" w:lineRule="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浓度限值</w:t>
            </w:r>
          </w:p>
        </w:tc>
        <w:tc>
          <w:tcPr>
            <w:tcW w:w="10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z w:val="21"/>
                <w:szCs w:val="21"/>
                <w:highlight w:val="none"/>
                <w:lang w:eastAsia="zh-CN"/>
              </w:rPr>
            </w:pPr>
          </w:p>
        </w:tc>
        <w:tc>
          <w:tcPr>
            <w:tcW w:w="1260" w:type="dxa"/>
            <w:gridSpan w:val="2"/>
            <w:vMerge w:val="continue"/>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801" w:type="dxa"/>
            <w:gridSpan w:val="2"/>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pacing w:val="-4"/>
                <w:sz w:val="21"/>
                <w:szCs w:val="21"/>
                <w:highlight w:val="none"/>
              </w:rPr>
            </w:pPr>
          </w:p>
        </w:tc>
        <w:tc>
          <w:tcPr>
            <w:tcW w:w="2317" w:type="dxa"/>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《挥发性有机物无组织排放控制标准》（GB37822-2019）中表A.1厂区内VOCs无组织排放限值要求</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z w:val="21"/>
                <w:szCs w:val="21"/>
                <w:highlight w:val="none"/>
                <w:lang w:eastAsia="zh-CN"/>
              </w:rPr>
            </w:pPr>
          </w:p>
        </w:tc>
        <w:tc>
          <w:tcPr>
            <w:tcW w:w="1260" w:type="dxa"/>
            <w:gridSpan w:val="2"/>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甲醛</w:t>
            </w:r>
          </w:p>
        </w:tc>
        <w:tc>
          <w:tcPr>
            <w:tcW w:w="1801" w:type="dxa"/>
            <w:gridSpan w:val="2"/>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pacing w:val="-4"/>
                <w:sz w:val="21"/>
                <w:szCs w:val="21"/>
                <w:highlight w:val="none"/>
              </w:rPr>
            </w:pPr>
          </w:p>
        </w:tc>
        <w:tc>
          <w:tcPr>
            <w:tcW w:w="2317" w:type="dxa"/>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《大气污染物综合排放标准》（GB16297-1996）表2无组织排放监控浓度限值</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z w:val="21"/>
                <w:szCs w:val="21"/>
                <w:highlight w:val="none"/>
                <w:lang w:eastAsia="zh-CN"/>
              </w:rPr>
            </w:pPr>
          </w:p>
        </w:tc>
        <w:tc>
          <w:tcPr>
            <w:tcW w:w="1260" w:type="dxa"/>
            <w:gridSpan w:val="2"/>
            <w:tcBorders>
              <w:tl2br w:val="nil"/>
              <w:tr2bl w:val="nil"/>
            </w:tcBorders>
            <w:noWrap w:val="0"/>
            <w:vAlign w:val="center"/>
          </w:tcPr>
          <w:p>
            <w:pPr>
              <w:widowControl/>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w:t>
            </w:r>
          </w:p>
        </w:tc>
        <w:tc>
          <w:tcPr>
            <w:tcW w:w="1801" w:type="dxa"/>
            <w:gridSpan w:val="2"/>
            <w:vMerge w:val="continue"/>
            <w:tcBorders>
              <w:tl2br w:val="nil"/>
              <w:tr2bl w:val="nil"/>
            </w:tcBorders>
            <w:noWrap w:val="0"/>
            <w:vAlign w:val="center"/>
          </w:tcPr>
          <w:p>
            <w:pPr>
              <w:adjustRightInd w:val="0"/>
              <w:snapToGrid w:val="0"/>
              <w:spacing w:before="120" w:beforeLines="50" w:line="240" w:lineRule="auto"/>
              <w:jc w:val="center"/>
              <w:rPr>
                <w:rFonts w:hint="default" w:ascii="Times New Roman" w:hAnsi="Times New Roman" w:eastAsia="宋体" w:cs="Times New Roman"/>
                <w:color w:val="auto"/>
                <w:spacing w:val="-4"/>
                <w:sz w:val="21"/>
                <w:szCs w:val="21"/>
                <w:highlight w:val="none"/>
              </w:rPr>
            </w:pPr>
          </w:p>
        </w:tc>
        <w:tc>
          <w:tcPr>
            <w:tcW w:w="2317" w:type="dxa"/>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《恶臭污染物排放标准》（GB14553-93）表1新改扩建二级标准</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
        <w:gridCol w:w="1288"/>
        <w:gridCol w:w="1260"/>
        <w:gridCol w:w="1801"/>
        <w:gridCol w:w="2317"/>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268"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地表水环境</w:t>
            </w:r>
          </w:p>
        </w:tc>
        <w:tc>
          <w:tcPr>
            <w:tcW w:w="1288"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冷凝水</w:t>
            </w:r>
          </w:p>
        </w:tc>
        <w:tc>
          <w:tcPr>
            <w:tcW w:w="1260" w:type="dxa"/>
            <w:tcBorders>
              <w:tl2br w:val="nil"/>
              <w:tr2bl w:val="nil"/>
            </w:tcBorders>
            <w:noWrap w:val="0"/>
            <w:vAlign w:val="center"/>
          </w:tcPr>
          <w:p>
            <w:pPr>
              <w:pStyle w:val="134"/>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eastAsia="zh-CN"/>
              </w:rPr>
              <w:t>—</w:t>
            </w:r>
          </w:p>
        </w:tc>
        <w:tc>
          <w:tcPr>
            <w:tcW w:w="1801" w:type="dxa"/>
            <w:tcBorders>
              <w:tl2br w:val="nil"/>
              <w:tr2bl w:val="nil"/>
            </w:tcBorders>
            <w:noWrap w:val="0"/>
            <w:vAlign w:val="center"/>
          </w:tcPr>
          <w:p>
            <w:pPr>
              <w:pStyle w:val="134"/>
              <w:adjustRightIn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回用于涂胶工</w:t>
            </w:r>
          </w:p>
          <w:p>
            <w:pPr>
              <w:pStyle w:val="134"/>
              <w:adjustRightInd/>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序，不外排</w:t>
            </w:r>
          </w:p>
        </w:tc>
        <w:tc>
          <w:tcPr>
            <w:tcW w:w="231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不外排</w:t>
            </w:r>
          </w:p>
        </w:tc>
        <w:tc>
          <w:tcPr>
            <w:tcW w:w="10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0"/>
                <w:sz w:val="21"/>
                <w:szCs w:val="21"/>
              </w:rPr>
            </w:pPr>
          </w:p>
        </w:tc>
        <w:tc>
          <w:tcPr>
            <w:tcW w:w="1288"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生活污水</w:t>
            </w:r>
          </w:p>
        </w:tc>
        <w:tc>
          <w:tcPr>
            <w:tcW w:w="1260" w:type="dxa"/>
            <w:tcBorders>
              <w:tl2br w:val="nil"/>
              <w:tr2bl w:val="nil"/>
            </w:tcBorders>
            <w:noWrap w:val="0"/>
            <w:vAlign w:val="center"/>
          </w:tcPr>
          <w:p>
            <w:pPr>
              <w:pStyle w:val="134"/>
              <w:adjustRightInd/>
              <w:spacing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COD、氨</w:t>
            </w:r>
          </w:p>
          <w:p>
            <w:pPr>
              <w:pStyle w:val="134"/>
              <w:adjustRightInd/>
              <w:spacing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氮、SS</w:t>
            </w:r>
          </w:p>
        </w:tc>
        <w:tc>
          <w:tcPr>
            <w:tcW w:w="1801" w:type="dxa"/>
            <w:tcBorders>
              <w:tl2br w:val="nil"/>
              <w:tr2bl w:val="nil"/>
            </w:tcBorders>
            <w:noWrap w:val="0"/>
            <w:vAlign w:val="center"/>
          </w:tcPr>
          <w:p>
            <w:pPr>
              <w:pStyle w:val="134"/>
              <w:adjustRightInd/>
              <w:spacing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厂区设防渗旱</w:t>
            </w:r>
          </w:p>
          <w:p>
            <w:pPr>
              <w:pStyle w:val="134"/>
              <w:adjustRightInd/>
              <w:spacing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厕，定期清掏</w:t>
            </w:r>
          </w:p>
        </w:tc>
        <w:tc>
          <w:tcPr>
            <w:tcW w:w="231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不外排</w:t>
            </w:r>
          </w:p>
        </w:tc>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2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w:t>
            </w:r>
          </w:p>
        </w:tc>
        <w:tc>
          <w:tcPr>
            <w:tcW w:w="1288"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设备噪声</w:t>
            </w:r>
          </w:p>
        </w:tc>
        <w:tc>
          <w:tcPr>
            <w:tcW w:w="1260"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w:t>
            </w:r>
          </w:p>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A 声级</w:t>
            </w:r>
          </w:p>
        </w:tc>
        <w:tc>
          <w:tcPr>
            <w:tcW w:w="1801"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w:t>
            </w:r>
          </w:p>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厂房隔声</w:t>
            </w:r>
          </w:p>
        </w:tc>
        <w:tc>
          <w:tcPr>
            <w:tcW w:w="231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《工业企业厂界环境噪声排放标准》（GB12348-2008）2类标准</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12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固体废物</w:t>
            </w:r>
          </w:p>
        </w:tc>
        <w:tc>
          <w:tcPr>
            <w:tcW w:w="6668" w:type="dxa"/>
            <w:gridSpan w:val="5"/>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一般固废：分卷工序产生下脚料，统一收集后外售。</w:t>
            </w:r>
          </w:p>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危险废物：废气治理设施电捕过程产生的废胶、活性炭吸附装置产生的废活性炭属于危险废物，采用密闭包装，暂存于危废暂存间，定期交有资质单位清运处置。</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266" w:type="dxa"/>
            <w:tcBorders>
              <w:tl2br w:val="nil"/>
              <w:tr2bl w:val="nil"/>
            </w:tcBorders>
            <w:noWrap w:val="0"/>
            <w:vAlign w:val="center"/>
          </w:tcPr>
          <w:p>
            <w:pPr>
              <w:snapToGrid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土壤及地下水污染防治措施</w:t>
            </w:r>
          </w:p>
        </w:tc>
        <w:tc>
          <w:tcPr>
            <w:tcW w:w="6668" w:type="dxa"/>
            <w:gridSpan w:val="5"/>
            <w:tcBorders>
              <w:tl2br w:val="nil"/>
              <w:tr2bl w:val="nil"/>
            </w:tcBorders>
            <w:noWrap w:val="0"/>
            <w:vAlign w:val="center"/>
          </w:tcPr>
          <w:p>
            <w:pPr>
              <w:keepNext w:val="0"/>
              <w:keepLines w:val="0"/>
              <w:widowControl/>
              <w:numPr>
                <w:ilvl w:val="0"/>
                <w:numId w:val="2"/>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技改项目利用现有生产车间安装生产设备，现有车间地面已采取防渗措施，防渗层渗透系数</w:t>
            </w:r>
            <w:r>
              <w:rPr>
                <w:rFonts w:hint="default" w:ascii="Times New Roman" w:hAnsi="Times New Roman" w:eastAsia="宋体" w:cs="Times New Roman"/>
                <w:color w:val="000000"/>
                <w:kern w:val="0"/>
                <w:sz w:val="21"/>
                <w:szCs w:val="21"/>
                <w:lang w:val="en-US" w:eastAsia="zh-CN" w:bidi="ar"/>
              </w:rPr>
              <w:t>≤1×10</w:t>
            </w:r>
            <w:r>
              <w:rPr>
                <w:rFonts w:hint="eastAsia" w:ascii="Times New Roman" w:hAnsi="Times New Roman" w:eastAsia="宋体" w:cs="Times New Roman"/>
                <w:color w:val="000000"/>
                <w:kern w:val="0"/>
                <w:sz w:val="21"/>
                <w:szCs w:val="21"/>
                <w:vertAlign w:val="superscript"/>
                <w:lang w:val="en-US" w:eastAsia="zh-CN" w:bidi="ar"/>
              </w:rPr>
              <w:t>-7</w:t>
            </w:r>
            <w:r>
              <w:rPr>
                <w:rFonts w:hint="default" w:ascii="Times New Roman" w:hAnsi="Times New Roman" w:eastAsia="宋体" w:cs="Times New Roman"/>
                <w:color w:val="000000"/>
                <w:kern w:val="0"/>
                <w:sz w:val="21"/>
                <w:szCs w:val="21"/>
                <w:lang w:val="en-US" w:eastAsia="zh-CN" w:bidi="ar"/>
              </w:rPr>
              <w:t>cm/s</w:t>
            </w:r>
            <w:r>
              <w:rPr>
                <w:rFonts w:hint="eastAsia" w:ascii="宋体" w:hAnsi="宋体" w:eastAsia="宋体" w:cs="宋体"/>
                <w:color w:val="000000"/>
                <w:kern w:val="0"/>
                <w:sz w:val="21"/>
                <w:szCs w:val="21"/>
                <w:lang w:val="en-US" w:eastAsia="zh-CN" w:bidi="ar"/>
              </w:rPr>
              <w:t>。</w:t>
            </w:r>
          </w:p>
          <w:p>
            <w:pPr>
              <w:keepNext w:val="0"/>
              <w:keepLines w:val="0"/>
              <w:widowControl/>
              <w:numPr>
                <w:ilvl w:val="0"/>
                <w:numId w:val="0"/>
              </w:numPr>
              <w:suppressLineNumbers w:val="0"/>
              <w:jc w:val="left"/>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、技改项目依托现有危废暂存间，已采取重点防渗措施，渗透系数小于</w:t>
            </w:r>
            <w:r>
              <w:rPr>
                <w:rFonts w:hint="default" w:ascii="Times New Roman" w:hAnsi="Times New Roman" w:eastAsia="宋体" w:cs="Times New Roman"/>
                <w:color w:val="000000"/>
                <w:kern w:val="0"/>
                <w:sz w:val="21"/>
                <w:szCs w:val="21"/>
                <w:lang w:val="en-US" w:eastAsia="zh-CN" w:bidi="ar"/>
              </w:rPr>
              <w:t>10</w:t>
            </w:r>
            <w:r>
              <w:rPr>
                <w:rFonts w:hint="eastAsia" w:ascii="Times New Roman" w:hAnsi="Times New Roman" w:eastAsia="宋体" w:cs="Times New Roman"/>
                <w:color w:val="000000"/>
                <w:kern w:val="0"/>
                <w:sz w:val="21"/>
                <w:szCs w:val="21"/>
                <w:vertAlign w:val="superscript"/>
                <w:lang w:val="en-US" w:eastAsia="zh-CN" w:bidi="ar"/>
              </w:rPr>
              <w:t>-10</w:t>
            </w:r>
            <w:r>
              <w:rPr>
                <w:rFonts w:hint="default" w:ascii="Times New Roman" w:hAnsi="Times New Roman" w:eastAsia="宋体" w:cs="Times New Roman"/>
                <w:color w:val="000000"/>
                <w:kern w:val="0"/>
                <w:sz w:val="21"/>
                <w:szCs w:val="21"/>
                <w:lang w:val="en-US" w:eastAsia="zh-CN" w:bidi="ar"/>
              </w:rPr>
              <w:t>cm/s</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val="0"/>
                <w:bCs w:val="0"/>
                <w:color w:val="auto"/>
                <w:szCs w:val="21"/>
                <w:lang w:val="en-US" w:eastAsia="zh-CN"/>
              </w:rPr>
              <w:t>已做硬化及防渗处理</w:t>
            </w:r>
          </w:p>
        </w:tc>
      </w:tr>
    </w:tbl>
    <w:p>
      <w:pPr>
        <w:pStyle w:val="7"/>
        <w:rPr>
          <w:rFonts w:hint="default" w:ascii="Times New Roman" w:hAnsi="Times New Roman" w:cs="Times New Roman"/>
        </w:rPr>
      </w:pPr>
      <w:bookmarkStart w:id="38" w:name="_Toc504325342"/>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河间市卧佛堂镇东告村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技改项目无新增生产废水；无新增劳动定员，不新增职工生活污水；技改后，全厂废水为废气治理设施产生的冷凝水，回用于涂胶工序，不外排，职工生活污水排入厂区防渗旱厕，定期清掏，不外排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②废气──项目燃烧烟气与涂胶、烘干定型废气一并经冷凝塔+电捕焦油器+活性炭吸附箱处理后，由1根15m高排气筒排放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7"/>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7"/>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8"/>
        <w:spacing w:line="440" w:lineRule="atLeast"/>
        <w:rPr>
          <w:rFonts w:hint="default" w:ascii="Times New Roman" w:hAnsi="Times New Roman" w:cs="Times New Roman"/>
        </w:rPr>
      </w:pPr>
      <w:bookmarkStart w:id="42" w:name="_Toc504325346"/>
      <w:bookmarkStart w:id="43" w:name="_Toc497001461"/>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技改项目无新增生产废水；无新增劳动定员，不新增职工生活污水；技改后，全厂废水为废气治理设施产生的冷凝水，回用于涂胶工序，不外排，职工生活污水排入厂区防渗旱厕，定期清掏，不外排。</w:t>
      </w:r>
    </w:p>
    <w:p>
      <w:pPr>
        <w:pStyle w:val="8"/>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技改</w:t>
      </w:r>
      <w:r>
        <w:rPr>
          <w:rFonts w:hint="eastAsia" w:ascii="Times New Roman" w:hAnsi="Times New Roman" w:eastAsia="宋体" w:cs="Times New Roman"/>
          <w:sz w:val="24"/>
          <w:szCs w:val="24"/>
          <w:lang w:eastAsia="zh-CN"/>
        </w:rPr>
        <w:t>项目</w:t>
      </w:r>
      <w:r>
        <w:rPr>
          <w:rFonts w:hint="eastAsia" w:ascii="Times New Roman" w:hAnsi="Times New Roman" w:eastAsia="宋体" w:cs="Times New Roman"/>
          <w:sz w:val="24"/>
          <w:szCs w:val="24"/>
          <w:lang w:eastAsia="zh-CN"/>
        </w:rPr>
        <w:t>燃烧烟气与涂胶、烘干定型废气一并经冷凝塔+电捕焦油器+活性炭吸附箱处理后，由1根15m高排气筒排放</w:t>
      </w:r>
      <w:r>
        <w:rPr>
          <w:rFonts w:hint="default" w:ascii="Times New Roman" w:hAnsi="Times New Roman" w:eastAsia="宋体" w:cs="Times New Roman"/>
          <w:sz w:val="24"/>
          <w:szCs w:val="24"/>
          <w:lang w:eastAsia="zh-CN"/>
        </w:rPr>
        <w:t>。</w:t>
      </w:r>
    </w:p>
    <w:p>
      <w:pPr>
        <w:pStyle w:val="8"/>
        <w:rPr>
          <w:rFonts w:hint="default" w:ascii="Times New Roman" w:hAnsi="Times New Roman" w:cs="Times New Roman"/>
        </w:rPr>
      </w:pPr>
      <w:bookmarkStart w:id="48" w:name="_Toc496979026"/>
      <w:bookmarkStart w:id="49" w:name="_Toc504325348"/>
      <w:bookmarkStart w:id="50" w:name="_Toc497001463"/>
      <w:r>
        <w:rPr>
          <w:rFonts w:hint="default" w:ascii="Times New Roman" w:hAnsi="Times New Roman" w:cs="Times New Roman"/>
        </w:rPr>
        <w:t>3.2.3噪声</w:t>
      </w:r>
      <w:bookmarkEnd w:id="48"/>
      <w:bookmarkEnd w:id="49"/>
      <w:bookmarkEnd w:id="50"/>
    </w:p>
    <w:p>
      <w:pPr>
        <w:pStyle w:val="59"/>
        <w:adjustRightInd w:val="0"/>
        <w:snapToGrid w:val="0"/>
        <w:spacing w:line="460" w:lineRule="atLeast"/>
        <w:ind w:firstLine="552"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z w:val="24"/>
          <w:szCs w:val="24"/>
          <w:lang w:val="en-US" w:eastAsia="zh-CN"/>
        </w:rPr>
        <w:t>技改</w:t>
      </w:r>
      <w:r>
        <w:rPr>
          <w:rFonts w:hint="eastAsia" w:ascii="Times New Roman" w:hAnsi="Times New Roman" w:eastAsia="宋体" w:cs="Times New Roman"/>
          <w:spacing w:val="0"/>
          <w:sz w:val="24"/>
          <w:szCs w:val="24"/>
          <w:lang w:val="en-US" w:eastAsia="zh-CN"/>
        </w:rPr>
        <w:t>项目主要噪声源为为生产设备运行过程产生的噪声，本项目采取基础减振、厂房隔声等降噪措施，再经过距离衰减后排入周边环境</w:t>
      </w:r>
      <w:r>
        <w:rPr>
          <w:rFonts w:hint="default" w:ascii="Times New Roman" w:hAnsi="Times New Roman" w:eastAsia="宋体" w:cs="Times New Roman"/>
          <w:spacing w:val="0"/>
          <w:sz w:val="24"/>
          <w:szCs w:val="24"/>
        </w:rPr>
        <w:t>。</w:t>
      </w:r>
    </w:p>
    <w:p>
      <w:pPr>
        <w:pStyle w:val="8"/>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86"/>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技改项目建成后，全厂固体废物包括分卷工序产生的下脚料，废气治理设施电捕过程产生的废胶、活性炭吸附装置产生的废活性炭。</w:t>
      </w:r>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分卷工序产生下脚料，统一收集后外售；废胶采用密闭桶装，废活性炭采用密闭胶袋包装收集，收集后于厂区危废暂存间暂存，定期交有资质单位清运处置</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6"/>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7001467"/>
      <w:bookmarkStart w:id="58" w:name="_Toc496979030"/>
      <w:bookmarkStart w:id="59" w:name="_Toc504325353"/>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504325354"/>
      <w:bookmarkStart w:id="62" w:name="_Toc496979031"/>
      <w:r>
        <w:rPr>
          <w:rFonts w:hint="default" w:ascii="Times New Roman" w:hAnsi="Times New Roman" w:eastAsia="宋体" w:cs="Times New Roman"/>
          <w:sz w:val="24"/>
          <w:szCs w:val="24"/>
          <w:lang w:val="en-US" w:eastAsia="zh-CN"/>
        </w:rPr>
        <w:t>本项目选址和建设符合国家和地方环境保护政策；项目采取污染防治措施可实现污染物达标排放，对环境影响不明显。综上所述，在落实环保措施和环境管理制度，稳定运行施行各项环保设施措施的前提下，从环境保护角度分析，项目建设可行</w:t>
      </w:r>
      <w:r>
        <w:rPr>
          <w:rFonts w:hint="eastAsia" w:ascii="Times New Roman" w:hAnsi="Times New Roman" w:cs="Times New Roman"/>
          <w:sz w:val="24"/>
          <w:szCs w:val="24"/>
          <w:lang w:val="en-US" w:eastAsia="zh-CN"/>
        </w:rPr>
        <w:t>。</w:t>
      </w:r>
    </w:p>
    <w:bookmarkEnd w:id="60"/>
    <w:bookmarkEnd w:id="61"/>
    <w:bookmarkEnd w:id="62"/>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2022年07月21日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河环表[2022]（07-16）号。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2"/>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河北博清玻璃纤维制品有限公司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河间市卧佛堂镇东告村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烤布炉燃烧烟气、涂胶、烘干定型工序废气经集气装置+冷凝+电捕集+活性炭吸附处理，颗粒物、二氧化硫、氮氧化物、烟气黑度要达到《工业炉窑大气污染物排放标准》（DB13/1640-2012）及《工业炉窑大气污染物综合治理方案》环大气[2019]56号要求；非甲烷总烃要达到《工业企业挥发性有机物排放控制标准》（DB13/2322-2016）表1“其他行业”标准；甲醛要达到《大气污染物综合排放标准》（GB16297-1996)表2二级标准；氨要达到《恶臭污染物排放标准》（GB14554-93)表2标准；无组织废气中非甲烷总烃要达到《工业企业挥发性有机物排放控制标准》（DB13/2322-2016)表2标准，同时满足《挥发性有机物无组织排放控制标准》（GB37822-2019）表A.1厂区内VOCs无组织特别排放限值；甲醛要达到《大气污染物综合排放标准》（GB16297-1996）表2无组织排放监控浓度限值；氨要达到《恶奥污染物排放标准》（GB14554-93)表1标准</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废水：废水：冷凝水回用于涂胶工序，不得外排；生活污水排入厂区防渗旱厕，定期清掏。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7"/>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8"/>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《大气污染物综合排放标准》（GB16297-1996）表2中二级标准及无组织排放监控浓度限值；《工业企业挥发性有机物排放控制标准》（DB 13/2322-2016）表1中其他行业污染物浓度限值、表2其他企业边界大气污染物浓度限值；《工业炉窑大气污染物排放标准》（DB13/ 1640-2012）表1中工业炉窑颗粒物排放限值中新建炉窑排放标准、表2工业炉窑有害污染物排放限值及《工业炉窑大气污染综合治理方案》（环大气[2019]56号）文件要求；《恶臭污染物排放标准》（GB14554-1993）表1二级新扩改建标准、表2标准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2"/>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71" w:type="dxa"/>
            <w:vMerge w:val="restart"/>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DA001废气总排放口出口</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30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《工业炉窑大气污染物排放标准》（DB13/ 1640-2012）表1中工业炉窑颗粒物排放限值中新建炉窑排放标准、表2工业炉窑有害污染物排放限值及《工业炉窑大气污染综合治理方案》（环大气[2019]56号）文件要求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二氧化硫</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氮氧化物</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300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烟气黑度</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w:t>
            </w:r>
            <w:r>
              <w:rPr>
                <w:rFonts w:hint="eastAsia" w:ascii="Times New Roman" w:hAnsi="Times New Roman" w:eastAsia="宋体" w:cs="Times New Roman"/>
                <w:b w:val="0"/>
                <w:bCs/>
                <w:sz w:val="21"/>
                <w:szCs w:val="21"/>
                <w:lang w:val="en-US" w:eastAsia="zh-CN"/>
              </w:rPr>
              <w:t>1级</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13/2322-2016）表1大气污染物排放限值中其他行业标准限值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甲醛</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r>
              <w:rPr>
                <w:rFonts w:hint="default" w:ascii="Times New Roman" w:hAnsi="Times New Roman" w:eastAsia="宋体" w:cs="Times New Roman"/>
                <w:b w:val="0"/>
                <w:bCs/>
                <w:sz w:val="21"/>
                <w:szCs w:val="21"/>
              </w:rPr>
              <w:t>排放</w:t>
            </w:r>
            <w:r>
              <w:rPr>
                <w:rFonts w:hint="eastAsia" w:ascii="Times New Roman" w:hAnsi="Times New Roman" w:eastAsia="宋体" w:cs="Times New Roman"/>
                <w:b w:val="0"/>
                <w:bCs/>
                <w:sz w:val="21"/>
                <w:szCs w:val="21"/>
                <w:lang w:val="en-US" w:eastAsia="zh-CN"/>
              </w:rPr>
              <w:t>速率</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0.26k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氨</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w:t>
            </w:r>
            <w:r>
              <w:rPr>
                <w:rFonts w:hint="eastAsia" w:ascii="Times New Roman" w:hAnsi="Times New Roman" w:eastAsia="宋体" w:cs="Times New Roman"/>
                <w:b w:val="0"/>
                <w:bCs/>
                <w:sz w:val="21"/>
                <w:szCs w:val="21"/>
                <w:lang w:val="en-US" w:eastAsia="zh-CN"/>
              </w:rPr>
              <w:t>速率</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4.9k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《恶臭污染物排放标准》（GB14554-1993）表2标准限值</w:t>
            </w:r>
          </w:p>
        </w:tc>
      </w:tr>
    </w:tbl>
    <w:p>
      <w:pPr>
        <w:rPr>
          <w:rFonts w:hint="eastAsia"/>
          <w:lang w:val="en-US" w:eastAsia="zh-CN"/>
        </w:rPr>
      </w:pPr>
      <w:r>
        <w:rPr>
          <w:rFonts w:hint="eastAsia"/>
          <w:lang w:val="en-US" w:eastAsia="zh-CN"/>
        </w:rPr>
        <w:br w:type="page"/>
      </w:r>
    </w:p>
    <w:p>
      <w:pPr>
        <w:rPr>
          <w:rFonts w:hint="default" w:eastAsiaTheme="minorEastAsia"/>
          <w:lang w:val="en-US" w:eastAsia="zh-CN"/>
        </w:rPr>
      </w:pPr>
      <w:r>
        <w:rPr>
          <w:rFonts w:hint="eastAsia"/>
          <w:lang w:val="en-US" w:eastAsia="zh-CN"/>
        </w:rPr>
        <w:t>续上表</w:t>
      </w:r>
    </w:p>
    <w:tbl>
      <w:tblPr>
        <w:tblStyle w:val="32"/>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甲醛</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氨</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《恶臭污染物排放标准》（GB14554-1993）表1二级新扩改建标准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8"/>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4"/>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7"/>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技改项目完成后，全厂污染物核定排放总量控制指标为COD：0t/a、氨氮：0t/a、SO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：0.191/a、NO</w:t>
      </w:r>
      <w:r>
        <w:rPr>
          <w:rFonts w:hint="default" w:ascii="Times New Roman" w:hAnsi="Times New Roman" w:eastAsia="宋体" w:cs="Times New Roman"/>
          <w:sz w:val="24"/>
          <w:szCs w:val="24"/>
          <w:vertAlign w:val="subscript"/>
          <w:lang w:eastAsia="zh-CN"/>
        </w:rPr>
        <w:t>X</w:t>
      </w:r>
      <w:r>
        <w:rPr>
          <w:rFonts w:hint="default" w:ascii="Times New Roman" w:hAnsi="Times New Roman" w:eastAsia="宋体" w:cs="Times New Roman"/>
          <w:sz w:val="24"/>
          <w:szCs w:val="24"/>
          <w:lang w:eastAsia="zh-CN"/>
        </w:rPr>
        <w:t>：0.286t/a、颗粒物：0.029t/a、非甲烷总烃：9.6t/a、甲醛：3t/a、氨：11.76t/a。</w:t>
      </w:r>
      <w:r>
        <w:rPr>
          <w:rFonts w:hint="default" w:ascii="Times New Roman" w:hAnsi="Times New Roman" w:eastAsia="宋体" w:cs="Times New Roman"/>
          <w:sz w:val="24"/>
          <w:szCs w:val="24"/>
          <w:lang w:val="en-US" w:eastAsia="zh-CN"/>
        </w:rPr>
        <w:t>。</w:t>
      </w:r>
    </w:p>
    <w:p>
      <w:pPr>
        <w:pStyle w:val="6"/>
        <w:rPr>
          <w:rFonts w:hint="default" w:ascii="Times New Roman" w:hAnsi="Times New Roman" w:cs="Times New Roman"/>
        </w:rPr>
      </w:pPr>
      <w:bookmarkStart w:id="79" w:name="_Toc504325363"/>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2022年09月19日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2022年09月20日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DA001废气总排放口进口设1个检测点位</w:t>
            </w:r>
          </w:p>
        </w:tc>
        <w:tc>
          <w:tcPr>
            <w:tcW w:w="2140"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DA001废气总排放口出口设1个检测点位</w:t>
            </w:r>
          </w:p>
        </w:tc>
        <w:tc>
          <w:tcPr>
            <w:tcW w:w="2140" w:type="dxa"/>
            <w:vAlign w:val="center"/>
          </w:tcPr>
          <w:p>
            <w:pPr>
              <w:spacing w:line="240" w:lineRule="auto"/>
              <w:ind w:right="139" w:rightChars="66"/>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非甲烷总烃、颗粒物、二氧化硫、氮氧化物、烟气黑度、甲醛、氨</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甲醛、氨</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8"/>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18"/>
                <w:szCs w:val="18"/>
                <w:lang w:eastAsia="zh-CN"/>
              </w:rPr>
            </w:pPr>
            <w:r>
              <w:rPr>
                <w:rFonts w:hint="default" w:ascii="Times New Roman" w:hAnsi="Times New Roman" w:eastAsia="宋体" w:cs="Times New Roman"/>
                <w:spacing w:val="0"/>
                <w:sz w:val="18"/>
                <w:szCs w:val="18"/>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0.07mg/m</w:t>
            </w:r>
            <w:r>
              <w:rPr>
                <w:rFonts w:hint="default" w:ascii="Times New Roman" w:hAnsi="Times New Roman" w:eastAsia="宋体" w:cs="Times New Roman"/>
                <w:spacing w:val="0"/>
                <w:sz w:val="18"/>
                <w:szCs w:val="18"/>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spacing w:val="0"/>
                <w:sz w:val="18"/>
                <w:szCs w:val="18"/>
                <w:lang w:eastAsia="zh-CN"/>
              </w:rPr>
              <w:t>YQ3000-C全自动烟尘（气）测试仪</w:t>
            </w:r>
            <w:r>
              <w:rPr>
                <w:rFonts w:hint="default" w:ascii="Times New Roman" w:hAnsi="Times New Roman" w:eastAsia="宋体" w:cs="Times New Roman"/>
                <w:color w:val="000000"/>
                <w:kern w:val="0"/>
                <w:sz w:val="18"/>
                <w:szCs w:val="18"/>
                <w:lang w:val="en-US" w:eastAsia="zh-CN"/>
              </w:rPr>
              <w:t>（YQ 029-01）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045-02）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GC9790Ⅱ福立气相色谱仪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002-01）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18"/>
                <w:szCs w:val="18"/>
                <w:lang w:eastAsia="zh-CN"/>
              </w:rPr>
            </w:pPr>
            <w:r>
              <w:rPr>
                <w:rFonts w:hint="default" w:ascii="Times New Roman" w:hAnsi="Times New Roman" w:eastAsia="宋体" w:cs="Times New Roman"/>
                <w:spacing w:val="0"/>
                <w:sz w:val="18"/>
                <w:szCs w:val="18"/>
                <w:lang w:eastAsia="zh-CN"/>
              </w:rPr>
              <w:t>GC</w:t>
            </w:r>
            <w:r>
              <w:rPr>
                <w:rFonts w:hint="default" w:ascii="Times New Roman" w:hAnsi="Times New Roman" w:eastAsia="宋体" w:cs="Times New Roman"/>
                <w:spacing w:val="0"/>
                <w:sz w:val="18"/>
                <w:szCs w:val="18"/>
                <w:lang w:val="en-US" w:eastAsia="zh-CN"/>
              </w:rPr>
              <w:t>-7820惠分</w:t>
            </w:r>
            <w:r>
              <w:rPr>
                <w:rFonts w:hint="default" w:ascii="Times New Roman" w:hAnsi="Times New Roman" w:eastAsia="宋体" w:cs="Times New Roman"/>
                <w:spacing w:val="0"/>
                <w:sz w:val="18"/>
                <w:szCs w:val="18"/>
                <w:lang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spacing w:val="0"/>
                <w:sz w:val="18"/>
                <w:szCs w:val="18"/>
                <w:lang w:eastAsia="zh-CN"/>
              </w:rPr>
              <w:t>（YQ 002-0</w:t>
            </w:r>
            <w:r>
              <w:rPr>
                <w:rFonts w:hint="default" w:ascii="Times New Roman" w:hAnsi="Times New Roman" w:eastAsia="宋体" w:cs="Times New Roman"/>
                <w:spacing w:val="0"/>
                <w:sz w:val="18"/>
                <w:szCs w:val="18"/>
                <w:lang w:val="en-US" w:eastAsia="zh-CN"/>
              </w:rPr>
              <w:t>3</w:t>
            </w:r>
            <w:r>
              <w:rPr>
                <w:rFonts w:hint="default" w:ascii="Times New Roman" w:hAnsi="Times New Roman" w:eastAsia="宋体" w:cs="Times New Roman"/>
                <w:spacing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颗粒物</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HJ 836-2017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1.0mg/m</w:t>
            </w:r>
            <w:r>
              <w:rPr>
                <w:rFonts w:hint="default" w:ascii="Times New Roman" w:hAnsi="Times New Roman" w:eastAsia="宋体" w:cs="Times New Roman"/>
                <w:color w:val="auto"/>
                <w:sz w:val="18"/>
                <w:szCs w:val="18"/>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YQ3000-C全自动烟尘（气）测试仪（YQ 029-01）</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101-2AB电热鼓风干燥箱</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YQ 0</w:t>
            </w:r>
            <w:r>
              <w:rPr>
                <w:rFonts w:hint="default" w:ascii="Times New Roman" w:hAnsi="Times New Roman" w:eastAsia="宋体" w:cs="Times New Roman"/>
                <w:sz w:val="18"/>
                <w:szCs w:val="18"/>
                <w:lang w:val="en-US" w:eastAsia="zh-CN"/>
              </w:rPr>
              <w:t>15</w:t>
            </w:r>
            <w:r>
              <w:rPr>
                <w:rFonts w:hint="default" w:ascii="Times New Roman" w:hAnsi="Times New Roman" w:eastAsia="宋体" w:cs="Times New Roman"/>
                <w:sz w:val="18"/>
                <w:szCs w:val="18"/>
              </w:rPr>
              <w:t>-01</w:t>
            </w:r>
            <w:r>
              <w:rPr>
                <w:rFonts w:hint="default" w:ascii="Times New Roman" w:hAnsi="Times New Roman" w:eastAsia="宋体" w:cs="Times New Roman"/>
                <w:sz w:val="18"/>
                <w:szCs w:val="18"/>
                <w:lang w:val="en-US" w:eastAsia="zh-CN"/>
              </w:rPr>
              <w:t>）</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AUW220D电子天平</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YQ 0</w:t>
            </w:r>
            <w:r>
              <w:rPr>
                <w:rFonts w:hint="default" w:ascii="Times New Roman" w:hAnsi="Times New Roman" w:eastAsia="宋体" w:cs="Times New Roman"/>
                <w:sz w:val="18"/>
                <w:szCs w:val="18"/>
                <w:lang w:val="en-US" w:eastAsia="zh-CN"/>
              </w:rPr>
              <w:t>09</w:t>
            </w: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3）</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H06恒温恒湿室</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YQ 0</w:t>
            </w:r>
            <w:r>
              <w:rPr>
                <w:rFonts w:hint="default" w:ascii="Times New Roman" w:hAnsi="Times New Roman" w:eastAsia="宋体" w:cs="Times New Roman"/>
                <w:sz w:val="18"/>
                <w:szCs w:val="18"/>
                <w:lang w:val="en-US" w:eastAsia="zh-CN"/>
              </w:rPr>
              <w:t>53</w:t>
            </w: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二氧化硫</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lang w:eastAsia="zh-CN"/>
              </w:rPr>
              <w:t>《</w:t>
            </w:r>
            <w:r>
              <w:rPr>
                <w:rFonts w:hint="default" w:ascii="Times New Roman" w:hAnsi="Times New Roman" w:eastAsia="宋体" w:cs="Times New Roman"/>
                <w:color w:val="auto"/>
                <w:spacing w:val="0"/>
                <w:sz w:val="18"/>
                <w:szCs w:val="18"/>
              </w:rPr>
              <w:t>固定污染源废气</w:t>
            </w:r>
            <w:r>
              <w:rPr>
                <w:rFonts w:hint="default" w:ascii="Times New Roman" w:hAnsi="Times New Roman" w:eastAsia="宋体" w:cs="Times New Roman"/>
                <w:color w:val="auto"/>
                <w:spacing w:val="0"/>
                <w:sz w:val="18"/>
                <w:szCs w:val="18"/>
                <w:lang w:val="en-US" w:eastAsia="zh-CN"/>
              </w:rPr>
              <w:t xml:space="preserve"> </w:t>
            </w:r>
            <w:r>
              <w:rPr>
                <w:rFonts w:hint="default" w:ascii="Times New Roman" w:hAnsi="Times New Roman" w:eastAsia="宋体" w:cs="Times New Roman"/>
                <w:color w:val="auto"/>
                <w:spacing w:val="0"/>
                <w:sz w:val="18"/>
                <w:szCs w:val="18"/>
              </w:rPr>
              <w:t>二氧化硫的测定 定电位电解法</w:t>
            </w:r>
            <w:r>
              <w:rPr>
                <w:rFonts w:hint="default" w:ascii="Times New Roman" w:hAnsi="Times New Roman" w:eastAsia="宋体" w:cs="Times New Roman"/>
                <w:color w:val="auto"/>
                <w:spacing w:val="0"/>
                <w:sz w:val="18"/>
                <w:szCs w:val="18"/>
                <w:lang w:eastAsia="zh-CN"/>
              </w:rPr>
              <w:t>》</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rPr>
              <w:t>HJ 57-20</w:t>
            </w:r>
            <w:r>
              <w:rPr>
                <w:rFonts w:hint="default" w:ascii="Times New Roman" w:hAnsi="Times New Roman" w:eastAsia="宋体" w:cs="Times New Roman"/>
                <w:color w:val="auto"/>
                <w:spacing w:val="0"/>
                <w:sz w:val="18"/>
                <w:szCs w:val="18"/>
                <w:lang w:val="en-US" w:eastAsia="zh-CN"/>
              </w:rPr>
              <w:t>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3</w:t>
            </w:r>
            <w:r>
              <w:rPr>
                <w:rFonts w:hint="default" w:ascii="Times New Roman" w:hAnsi="Times New Roman" w:eastAsia="宋体" w:cs="Times New Roman"/>
                <w:color w:val="auto"/>
                <w:spacing w:val="0"/>
                <w:sz w:val="18"/>
                <w:szCs w:val="18"/>
              </w:rPr>
              <w:t>mg/m</w:t>
            </w:r>
            <w:r>
              <w:rPr>
                <w:rFonts w:hint="default" w:ascii="Times New Roman" w:hAnsi="Times New Roman" w:eastAsia="宋体" w:cs="Times New Roman"/>
                <w:color w:val="auto"/>
                <w:spacing w:val="0"/>
                <w:sz w:val="18"/>
                <w:szCs w:val="18"/>
                <w:vertAlign w:val="superscript"/>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YQ3000-C全自动烟尘（气）测试仪（YQ 029-01）</w:t>
            </w: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氮氧化物</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lang w:eastAsia="zh-CN"/>
              </w:rPr>
              <w:t>《</w:t>
            </w:r>
            <w:r>
              <w:rPr>
                <w:rFonts w:hint="default" w:ascii="Times New Roman" w:hAnsi="Times New Roman" w:eastAsia="宋体" w:cs="Times New Roman"/>
                <w:color w:val="auto"/>
                <w:spacing w:val="0"/>
                <w:sz w:val="18"/>
                <w:szCs w:val="18"/>
              </w:rPr>
              <w:t>固定污染源废气</w:t>
            </w:r>
            <w:r>
              <w:rPr>
                <w:rFonts w:hint="default" w:ascii="Times New Roman" w:hAnsi="Times New Roman" w:eastAsia="宋体" w:cs="Times New Roman"/>
                <w:color w:val="auto"/>
                <w:spacing w:val="0"/>
                <w:sz w:val="18"/>
                <w:szCs w:val="18"/>
                <w:lang w:val="en-US" w:eastAsia="zh-CN"/>
              </w:rPr>
              <w:t xml:space="preserve"> </w:t>
            </w:r>
            <w:r>
              <w:rPr>
                <w:rFonts w:hint="default" w:ascii="Times New Roman" w:hAnsi="Times New Roman" w:eastAsia="宋体" w:cs="Times New Roman"/>
                <w:color w:val="auto"/>
                <w:spacing w:val="0"/>
                <w:sz w:val="18"/>
                <w:szCs w:val="18"/>
              </w:rPr>
              <w:t>氮氧化物的测定</w:t>
            </w:r>
            <w:r>
              <w:rPr>
                <w:rFonts w:hint="default" w:ascii="Times New Roman" w:hAnsi="Times New Roman" w:eastAsia="宋体" w:cs="Times New Roman"/>
                <w:color w:val="auto"/>
                <w:spacing w:val="0"/>
                <w:sz w:val="18"/>
                <w:szCs w:val="18"/>
                <w:lang w:val="en-US" w:eastAsia="zh-CN"/>
              </w:rPr>
              <w:t xml:space="preserve"> </w:t>
            </w:r>
            <w:r>
              <w:rPr>
                <w:rFonts w:hint="default" w:ascii="Times New Roman" w:hAnsi="Times New Roman" w:eastAsia="宋体" w:cs="Times New Roman"/>
                <w:color w:val="auto"/>
                <w:spacing w:val="0"/>
                <w:sz w:val="18"/>
                <w:szCs w:val="18"/>
              </w:rPr>
              <w:t>定电位电解法</w:t>
            </w:r>
            <w:r>
              <w:rPr>
                <w:rFonts w:hint="default" w:ascii="Times New Roman" w:hAnsi="Times New Roman" w:eastAsia="宋体" w:cs="Times New Roman"/>
                <w:color w:val="auto"/>
                <w:spacing w:val="0"/>
                <w:sz w:val="18"/>
                <w:szCs w:val="18"/>
                <w:lang w:eastAsia="zh-CN"/>
              </w:rPr>
              <w:t>》</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rPr>
              <w:t>HJ 693-2014</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3</w:t>
            </w:r>
            <w:r>
              <w:rPr>
                <w:rFonts w:hint="default" w:ascii="Times New Roman" w:hAnsi="Times New Roman" w:eastAsia="宋体" w:cs="Times New Roman"/>
                <w:color w:val="auto"/>
                <w:spacing w:val="0"/>
                <w:sz w:val="18"/>
                <w:szCs w:val="18"/>
              </w:rPr>
              <w:t>mg/m</w:t>
            </w:r>
            <w:r>
              <w:rPr>
                <w:rFonts w:hint="default" w:ascii="Times New Roman" w:hAnsi="Times New Roman" w:eastAsia="宋体" w:cs="Times New Roman"/>
                <w:color w:val="auto"/>
                <w:spacing w:val="0"/>
                <w:sz w:val="18"/>
                <w:szCs w:val="18"/>
                <w:vertAlign w:val="superscript"/>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YQ3000-C全自动烟尘（气）测试仪（YQ 029-01）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sz w:val="18"/>
                <w:szCs w:val="18"/>
                <w:lang w:eastAsia="zh-CN"/>
              </w:rPr>
              <w:t>烟气黑度</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《固定污染源排放 烟气黑度的测定 林格曼烟气黑度图法》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sz w:val="18"/>
                <w:szCs w:val="18"/>
                <w:highlight w:val="none"/>
              </w:rPr>
              <w:t>HJ/T 398-2007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 xml:space="preserve">SC8000 0-5级 </w:t>
            </w:r>
            <w:r>
              <w:rPr>
                <w:rFonts w:hint="default" w:ascii="Times New Roman" w:hAnsi="Times New Roman" w:eastAsia="宋体" w:cs="Times New Roman"/>
                <w:sz w:val="18"/>
                <w:szCs w:val="18"/>
              </w:rPr>
              <w:t>林格曼</w:t>
            </w:r>
            <w:r>
              <w:rPr>
                <w:rFonts w:hint="default" w:ascii="Times New Roman" w:hAnsi="Times New Roman" w:eastAsia="宋体" w:cs="Times New Roman"/>
                <w:sz w:val="18"/>
                <w:szCs w:val="18"/>
                <w:lang w:eastAsia="zh-CN"/>
              </w:rPr>
              <w:t>烟气浓度图（</w:t>
            </w:r>
            <w:r>
              <w:rPr>
                <w:rFonts w:hint="default" w:ascii="Times New Roman" w:hAnsi="Times New Roman" w:eastAsia="宋体" w:cs="Times New Roman"/>
                <w:sz w:val="18"/>
                <w:szCs w:val="18"/>
                <w:lang w:val="en-US" w:eastAsia="zh-CN"/>
              </w:rPr>
              <w:t>YQ 043-02</w:t>
            </w:r>
            <w:r>
              <w:rPr>
                <w:rFonts w:hint="default" w:ascii="Times New Roman" w:hAnsi="Times New Roman" w:eastAsia="宋体"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甲醛</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《空气质量 甲醛的测定 乙酰丙酮分光光度法》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z w:val="18"/>
                <w:szCs w:val="18"/>
                <w:highlight w:val="none"/>
              </w:rPr>
              <w:t>GB/T 15516-1995</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0.125mg/m</w:t>
            </w:r>
            <w:r>
              <w:rPr>
                <w:rFonts w:hint="default" w:ascii="Times New Roman" w:hAnsi="Times New Roman" w:eastAsia="宋体" w:cs="Times New Roman"/>
                <w:spacing w:val="0"/>
                <w:sz w:val="18"/>
                <w:szCs w:val="18"/>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sz w:val="18"/>
                <w:szCs w:val="18"/>
              </w:rPr>
              <w:t>YQ3000-C全自动烟尘（气）测试仪</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YQ 029-0</w:t>
            </w:r>
            <w:r>
              <w:rPr>
                <w:rFonts w:hint="default"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ZR-3710双路烟气采样器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032-02）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000000"/>
                <w:kern w:val="0"/>
                <w:sz w:val="18"/>
                <w:szCs w:val="18"/>
                <w:lang w:eastAsia="zh-CN"/>
              </w:rPr>
              <w:t>（</w:t>
            </w:r>
            <w:r>
              <w:rPr>
                <w:rFonts w:hint="default" w:ascii="Times New Roman" w:hAnsi="Times New Roman" w:eastAsia="宋体" w:cs="Times New Roman"/>
                <w:color w:val="000000"/>
                <w:kern w:val="0"/>
                <w:sz w:val="18"/>
                <w:szCs w:val="18"/>
                <w:lang w:val="en-US" w:eastAsia="zh-CN"/>
              </w:rPr>
              <w:t>YQ 005-01</w:t>
            </w:r>
            <w:r>
              <w:rPr>
                <w:rFonts w:hint="default" w:ascii="Times New Roman" w:hAnsi="Times New Roman" w:eastAsia="宋体" w:cs="Times New Roman"/>
                <w:color w:val="000000"/>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氨</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《环境空气和废气 氨的测定 纳氏试剂分光光度法》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HJ 533-2009</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0.25mg/m3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YQ3000-C全自动烟尘（气）测试仪（YQ 029-01）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ZR-3710双路烟气采样器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032-02）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UV752型紫外可见分光光度计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006-01）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18"/>
                <w:szCs w:val="18"/>
                <w:lang w:eastAsia="zh-CN"/>
              </w:rPr>
            </w:pPr>
            <w:r>
              <w:rPr>
                <w:rFonts w:hint="default" w:ascii="Times New Roman" w:hAnsi="Times New Roman" w:eastAsia="宋体" w:cs="Times New Roman"/>
                <w:spacing w:val="0"/>
                <w:sz w:val="18"/>
                <w:szCs w:val="18"/>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eastAsia="zh-CN"/>
              </w:rPr>
              <w:t>HJ</w:t>
            </w:r>
            <w:r>
              <w:rPr>
                <w:rFonts w:hint="default" w:ascii="Times New Roman" w:hAnsi="Times New Roman" w:eastAsia="宋体" w:cs="Times New Roman"/>
                <w:spacing w:val="0"/>
                <w:sz w:val="18"/>
                <w:szCs w:val="18"/>
                <w:lang w:val="en-US" w:eastAsia="zh-CN"/>
              </w:rPr>
              <w:t xml:space="preserve"> </w:t>
            </w:r>
            <w:r>
              <w:rPr>
                <w:rFonts w:hint="default" w:ascii="Times New Roman" w:hAnsi="Times New Roman" w:eastAsia="宋体" w:cs="Times New Roman"/>
                <w:spacing w:val="0"/>
                <w:sz w:val="18"/>
                <w:szCs w:val="18"/>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rPr>
              <w:t>0.07mg/m</w:t>
            </w:r>
            <w:r>
              <w:rPr>
                <w:rFonts w:hint="default" w:ascii="Times New Roman" w:hAnsi="Times New Roman" w:eastAsia="宋体" w:cs="Times New Roman"/>
                <w:color w:val="000000"/>
                <w:kern w:val="0"/>
                <w:sz w:val="18"/>
                <w:szCs w:val="18"/>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045-07）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DYM3型空盒气压表（YQ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GC9790Ⅱ福立气相色谱仪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（YQ 002-01）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18"/>
                <w:szCs w:val="18"/>
                <w:lang w:eastAsia="zh-CN"/>
              </w:rPr>
            </w:pPr>
            <w:r>
              <w:rPr>
                <w:rFonts w:hint="default" w:ascii="Times New Roman" w:hAnsi="Times New Roman" w:eastAsia="宋体" w:cs="Times New Roman"/>
                <w:spacing w:val="0"/>
                <w:sz w:val="18"/>
                <w:szCs w:val="18"/>
                <w:lang w:eastAsia="zh-CN"/>
              </w:rPr>
              <w:t>GC</w:t>
            </w:r>
            <w:r>
              <w:rPr>
                <w:rFonts w:hint="default" w:ascii="Times New Roman" w:hAnsi="Times New Roman" w:eastAsia="宋体" w:cs="Times New Roman"/>
                <w:spacing w:val="0"/>
                <w:sz w:val="18"/>
                <w:szCs w:val="18"/>
                <w:lang w:val="en-US" w:eastAsia="zh-CN"/>
              </w:rPr>
              <w:t>-7820惠分</w:t>
            </w:r>
            <w:r>
              <w:rPr>
                <w:rFonts w:hint="default" w:ascii="Times New Roman" w:hAnsi="Times New Roman" w:eastAsia="宋体" w:cs="Times New Roman"/>
                <w:spacing w:val="0"/>
                <w:sz w:val="18"/>
                <w:szCs w:val="18"/>
                <w:lang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pacing w:val="0"/>
                <w:sz w:val="18"/>
                <w:szCs w:val="18"/>
                <w:lang w:eastAsia="zh-CN"/>
              </w:rPr>
              <w:t>（YQ 002-0</w:t>
            </w:r>
            <w:r>
              <w:rPr>
                <w:rFonts w:hint="default" w:ascii="Times New Roman" w:hAnsi="Times New Roman" w:eastAsia="宋体" w:cs="Times New Roman"/>
                <w:spacing w:val="0"/>
                <w:sz w:val="18"/>
                <w:szCs w:val="18"/>
                <w:lang w:val="en-US" w:eastAsia="zh-CN"/>
              </w:rPr>
              <w:t>3</w:t>
            </w:r>
            <w:r>
              <w:rPr>
                <w:rFonts w:hint="default" w:ascii="Times New Roman" w:hAnsi="Times New Roman" w:eastAsia="宋体" w:cs="Times New Roman"/>
                <w:spacing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甲醛</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《空气质量 甲醛的测定 乙酰丙酮分光光度法》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z w:val="18"/>
                <w:szCs w:val="18"/>
                <w:highlight w:val="none"/>
              </w:rPr>
              <w:t>GB/T 15516-1995</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0.125mg/m</w:t>
            </w:r>
            <w:r>
              <w:rPr>
                <w:rFonts w:hint="default" w:ascii="Times New Roman" w:hAnsi="Times New Roman" w:eastAsia="宋体" w:cs="Times New Roman"/>
                <w:color w:val="auto"/>
                <w:spacing w:val="0"/>
                <w:sz w:val="18"/>
                <w:szCs w:val="18"/>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ZR-3920环境空气颗粒物综合采样器（YQ 055-05、06、07）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DYM3型空盒气压表（YQ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w:t>
            </w:r>
            <w:r>
              <w:rPr>
                <w:rFonts w:hint="default" w:ascii="Times New Roman" w:hAnsi="Times New Roman" w:eastAsia="宋体" w:cs="Times New Roman"/>
                <w:color w:val="000000"/>
                <w:kern w:val="0"/>
                <w:sz w:val="18"/>
                <w:szCs w:val="18"/>
                <w:lang w:val="en-US" w:eastAsia="zh-CN"/>
              </w:rPr>
              <w:t>YQ 005-01</w:t>
            </w:r>
            <w:r>
              <w:rPr>
                <w:rFonts w:hint="default" w:ascii="Times New Roman" w:hAnsi="Times New Roman" w:eastAsia="宋体" w:cs="Times New Roman"/>
                <w:color w:val="000000"/>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pacing w:val="0"/>
                <w:sz w:val="18"/>
                <w:szCs w:val="18"/>
                <w:lang w:val="en-US" w:eastAsia="zh-CN"/>
              </w:rPr>
              <w:t>氨</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《环境空气和废气 氨的测定 纳氏试剂分光光度法》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z w:val="18"/>
                <w:szCs w:val="18"/>
                <w:highlight w:val="none"/>
              </w:rPr>
              <w:t>HJ 533-2009</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0.01mg/m</w:t>
            </w:r>
            <w:r>
              <w:rPr>
                <w:rFonts w:hint="default" w:ascii="Times New Roman" w:hAnsi="Times New Roman" w:eastAsia="宋体" w:cs="Times New Roman"/>
                <w:color w:val="auto"/>
                <w:spacing w:val="0"/>
                <w:sz w:val="18"/>
                <w:szCs w:val="18"/>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sz w:val="18"/>
                <w:szCs w:val="18"/>
                <w:lang w:val="en-US" w:eastAsia="zh-CN"/>
              </w:rPr>
              <w:t>ZR-3920环境空气颗粒物综合采样器</w:t>
            </w:r>
            <w:r>
              <w:rPr>
                <w:rFonts w:hint="default" w:ascii="Times New Roman" w:hAnsi="Times New Roman" w:eastAsia="宋体" w:cs="Times New Roman"/>
                <w:color w:val="000000"/>
                <w:kern w:val="0"/>
                <w:sz w:val="18"/>
                <w:szCs w:val="18"/>
                <w:lang w:val="en-US" w:eastAsia="zh-CN"/>
              </w:rPr>
              <w:t>（YQ 055-05、06、07）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DYM3型空盒气压表（YQ 048-01）</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（YQ 038-02）</w:t>
            </w:r>
          </w:p>
          <w:p>
            <w:pPr>
              <w:snapToGrid w:val="0"/>
              <w:spacing w:line="22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UV752</w:t>
            </w:r>
            <w:r>
              <w:rPr>
                <w:rFonts w:hint="default" w:ascii="Times New Roman" w:hAnsi="Times New Roman" w:eastAsia="宋体" w:cs="Times New Roman"/>
                <w:sz w:val="18"/>
                <w:szCs w:val="18"/>
                <w:lang w:val="en-US" w:eastAsia="zh-CN"/>
              </w:rPr>
              <w:t>型</w:t>
            </w:r>
            <w:r>
              <w:rPr>
                <w:rFonts w:hint="default" w:ascii="Times New Roman" w:hAnsi="Times New Roman" w:eastAsia="宋体" w:cs="Times New Roman"/>
                <w:sz w:val="18"/>
                <w:szCs w:val="18"/>
              </w:rPr>
              <w:t>紫外可见分光光度计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18"/>
                <w:szCs w:val="18"/>
                <w:lang w:val="en-US" w:eastAsia="zh-CN" w:bidi="ar-SA"/>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YQ 006-01</w:t>
            </w:r>
            <w:r>
              <w:rPr>
                <w:rFonts w:hint="default" w:ascii="Times New Roman" w:hAnsi="Times New Roman" w:eastAsia="宋体" w:cs="Times New Roman"/>
                <w:sz w:val="18"/>
                <w:szCs w:val="18"/>
                <w:lang w:eastAsia="zh-CN"/>
              </w:rPr>
              <w:t>）</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9"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AWA5688多功能声级计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035-02）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FYF-1型轻便三杯风向风速表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038-02）</w:t>
            </w:r>
          </w:p>
        </w:tc>
      </w:tr>
    </w:tbl>
    <w:p>
      <w:pPr>
        <w:pStyle w:val="8"/>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_x0000_s1197" o:spid="_x0000_s1197" o:spt="75" type="#_x0000_t75" style="position:absolute;left:0pt;margin-left:-16.75pt;margin-top:8.95pt;height:273.55pt;width:236.2pt;z-index:-251652096;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197" DrawAspect="Content" ObjectID="_1468075725" r:id="rId9">
            <o:LockedField>false</o:LockedField>
          </o:OLEObject>
        </w:pict>
      </w:r>
    </w:p>
    <w:p>
      <w:pPr>
        <w:ind w:firstLine="560" w:firstLineChars="200"/>
        <w:jc w:val="left"/>
        <w:rPr>
          <w:rFonts w:hint="default" w:ascii="Times New Roman" w:hAnsi="Times New Roman" w:cs="Times New Roman"/>
          <w:bCs/>
          <w:sz w:val="18"/>
          <w:szCs w:val="18"/>
        </w:rPr>
      </w:pPr>
      <w:r>
        <w:rPr>
          <w:b/>
          <w:sz w:val="28"/>
          <w:szCs w:val="28"/>
        </w:rPr>
        <w:pict>
          <v:shape id="对象 27" o:spid="_x0000_s1196" o:spt="75" type="#_x0000_t75" style="position:absolute;left:0pt;margin-left:196.75pt;margin-top:0.9pt;height:273.55pt;width:236.2pt;z-index:-251653120;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对象 27" DrawAspect="Content" ObjectID="_1468075726" r:id="rId11">
            <o:LockedField>false</o:LockedField>
          </o:OLEObject>
        </w:pict>
      </w: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DA001废气总排放口进口</w:t>
            </w:r>
          </w:p>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2022.09.19</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16212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16133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15975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max(D3:F3)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16212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bottom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tcBorders>
              <w:bottom w:val="single" w:color="auto" w:sz="4" w:space="0"/>
            </w:tcBorders>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7.00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6.73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6.67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max(D4:F4)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fldChar w:fldCharType="end"/>
            </w:r>
            <w:r>
              <w:rPr>
                <w:rFonts w:hint="default" w:ascii="Times New Roman" w:hAnsi="Times New Roman" w:eastAsia="宋体" w:cs="Times New Roman"/>
                <w:color w:val="auto"/>
                <w:kern w:val="0"/>
                <w:sz w:val="21"/>
                <w:szCs w:val="21"/>
                <w:lang w:val="en-US" w:eastAsia="zh-CN" w:bidi="ar"/>
              </w:rPr>
              <w:t>.00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top w:val="single" w:color="auto" w:sz="4" w:space="0"/>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DA001废气总排放口出口</w:t>
            </w:r>
          </w:p>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2022.09.19</w:t>
            </w:r>
          </w:p>
        </w:tc>
        <w:tc>
          <w:tcPr>
            <w:tcW w:w="196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标干流量</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11533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11462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11532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max(D9:F9)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11533</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max(D10:F10)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max(D11:F11)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2.2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1.38×10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1.38×10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1.38×10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1.38×10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环大气[2019]56号（200）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3.46×10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3.44×10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3.46×10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max(D16:F16)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max(D17:F17)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8</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5.77×10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4.58×10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4.61×10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5.77×10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2.55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2.20</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max(D19:F19)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2.55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16297-1996（25）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4.38×10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3.56×10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3.78×10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fldChar w:fldCharType="begin"/>
            </w:r>
            <w:r>
              <w:rPr>
                <w:rFonts w:hint="default" w:ascii="Times New Roman" w:hAnsi="Times New Roman" w:eastAsia="宋体" w:cs="Times New Roman"/>
                <w:color w:val="auto"/>
                <w:spacing w:val="-11"/>
                <w:kern w:val="0"/>
                <w:sz w:val="21"/>
                <w:szCs w:val="21"/>
                <w:lang w:val="en-US" w:eastAsia="zh-CN" w:bidi="ar"/>
              </w:rPr>
              <w:instrText xml:space="preserve"> = max(D20:F20) \* MERGEFORMAT </w:instrText>
            </w:r>
            <w:r>
              <w:rPr>
                <w:rFonts w:hint="default" w:ascii="Times New Roman" w:hAnsi="Times New Roman" w:eastAsia="宋体" w:cs="Times New Roman"/>
                <w:color w:val="auto"/>
                <w:spacing w:val="-11"/>
                <w:kern w:val="0"/>
                <w:sz w:val="21"/>
                <w:szCs w:val="21"/>
                <w:lang w:val="en-US" w:eastAsia="zh-CN" w:bidi="ar"/>
              </w:rPr>
              <w:fldChar w:fldCharType="separate"/>
            </w:r>
            <w:r>
              <w:rPr>
                <w:rFonts w:hint="default" w:ascii="Times New Roman" w:hAnsi="Times New Roman" w:eastAsia="宋体" w:cs="Times New Roman"/>
                <w:color w:val="auto"/>
                <w:spacing w:val="-11"/>
                <w:kern w:val="0"/>
                <w:sz w:val="21"/>
                <w:szCs w:val="21"/>
                <w:lang w:val="en-US" w:eastAsia="zh-CN" w:bidi="ar"/>
              </w:rPr>
              <w:t>4.38</w:t>
            </w:r>
            <w:r>
              <w:rPr>
                <w:rFonts w:hint="default" w:ascii="Times New Roman" w:hAnsi="Times New Roman" w:eastAsia="宋体" w:cs="Times New Roman"/>
                <w:color w:val="auto"/>
                <w:spacing w:val="-11"/>
                <w:kern w:val="0"/>
                <w:sz w:val="21"/>
                <w:szCs w:val="21"/>
                <w:lang w:val="en-US" w:eastAsia="zh-CN" w:bidi="ar"/>
              </w:rPr>
              <w:fldChar w:fldCharType="end"/>
            </w:r>
            <w:r>
              <w:rPr>
                <w:rFonts w:hint="default" w:ascii="Times New Roman" w:hAnsi="Times New Roman" w:eastAsia="宋体" w:cs="Times New Roman"/>
                <w:color w:val="auto"/>
                <w:spacing w:val="-11"/>
                <w:kern w:val="0"/>
                <w:sz w:val="21"/>
                <w:szCs w:val="21"/>
                <w:lang w:val="en-US" w:eastAsia="zh-CN" w:bidi="ar"/>
              </w:rPr>
              <w:t>×10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16297-1996（0.26）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max(D21:F21)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3.1</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5.33×10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4.80×10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5.33×10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fldChar w:fldCharType="begin"/>
            </w:r>
            <w:r>
              <w:rPr>
                <w:rFonts w:hint="default" w:ascii="Times New Roman" w:hAnsi="Times New Roman" w:eastAsia="宋体" w:cs="Times New Roman"/>
                <w:color w:val="auto"/>
                <w:spacing w:val="-11"/>
                <w:kern w:val="0"/>
                <w:sz w:val="21"/>
                <w:szCs w:val="21"/>
                <w:lang w:val="en-US" w:eastAsia="zh-CN" w:bidi="ar"/>
              </w:rPr>
              <w:instrText xml:space="preserve"> = max(D22:F22) \* MERGEFORMAT </w:instrText>
            </w:r>
            <w:r>
              <w:rPr>
                <w:rFonts w:hint="default" w:ascii="Times New Roman" w:hAnsi="Times New Roman" w:eastAsia="宋体" w:cs="Times New Roman"/>
                <w:color w:val="auto"/>
                <w:spacing w:val="-11"/>
                <w:kern w:val="0"/>
                <w:sz w:val="21"/>
                <w:szCs w:val="21"/>
                <w:lang w:val="en-US" w:eastAsia="zh-CN" w:bidi="ar"/>
              </w:rPr>
              <w:fldChar w:fldCharType="separate"/>
            </w:r>
            <w:r>
              <w:rPr>
                <w:rFonts w:hint="default" w:ascii="Times New Roman" w:hAnsi="Times New Roman" w:eastAsia="宋体" w:cs="Times New Roman"/>
                <w:color w:val="auto"/>
                <w:spacing w:val="-11"/>
                <w:kern w:val="0"/>
                <w:sz w:val="21"/>
                <w:szCs w:val="21"/>
                <w:lang w:val="en-US" w:eastAsia="zh-CN" w:bidi="ar"/>
              </w:rPr>
              <w:t>5.33</w:t>
            </w:r>
            <w:r>
              <w:rPr>
                <w:rFonts w:hint="default" w:ascii="Times New Roman" w:hAnsi="Times New Roman" w:eastAsia="宋体" w:cs="Times New Roman"/>
                <w:color w:val="auto"/>
                <w:spacing w:val="-11"/>
                <w:kern w:val="0"/>
                <w:sz w:val="21"/>
                <w:szCs w:val="21"/>
                <w:lang w:val="en-US" w:eastAsia="zh-CN" w:bidi="ar"/>
              </w:rPr>
              <w:fldChar w:fldCharType="end"/>
            </w:r>
            <w:r>
              <w:rPr>
                <w:rFonts w:hint="default" w:ascii="Times New Roman" w:hAnsi="Times New Roman" w:eastAsia="宋体" w:cs="Times New Roman"/>
                <w:color w:val="auto"/>
                <w:spacing w:val="-11"/>
                <w:kern w:val="0"/>
                <w:sz w:val="21"/>
                <w:szCs w:val="21"/>
                <w:lang w:val="en-US" w:eastAsia="zh-CN" w:bidi="ar"/>
              </w:rPr>
              <w:t>×10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14554-1993（4.9）</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3.37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3.72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max(D23:F23)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3.72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11"/>
                <w:sz w:val="21"/>
                <w:szCs w:val="21"/>
                <w:lang w:val="en-US" w:eastAsia="zh-CN"/>
              </w:rPr>
              <w:t>DB 13/2322-2016</w:t>
            </w: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烟气黑度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级</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DB13/1640-2012（</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bl>
    <w:p>
      <w:pPr>
        <w:rPr>
          <w:rFonts w:hint="eastAsia"/>
          <w:lang w:val="en-US" w:eastAsia="zh-CN"/>
        </w:rPr>
      </w:pPr>
      <w:r>
        <w:rPr>
          <w:rFonts w:hint="eastAsia"/>
          <w:lang w:val="en-US" w:eastAsia="zh-CN"/>
        </w:rPr>
        <w:br w:type="page"/>
      </w:r>
    </w:p>
    <w:p>
      <w:pPr>
        <w:rPr>
          <w:rFonts w:hint="eastAsia" w:eastAsiaTheme="minorEastAsia"/>
          <w:lang w:val="en-US" w:eastAsia="zh-CN"/>
        </w:rPr>
      </w:pPr>
      <w:r>
        <w:rPr>
          <w:rFonts w:hint="eastAsia"/>
          <w:lang w:val="en-US" w:eastAsia="zh-CN"/>
        </w:rPr>
        <w:t>续上表</w:t>
      </w:r>
    </w:p>
    <w:tbl>
      <w:tblPr>
        <w:tblStyle w:val="3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DA001废气总排放口进口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2022.09.20</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16189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16215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16526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max(D1:F1)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16526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max(D2:F2)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6.46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DA001废气总排放口出口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2022.09.20</w:t>
            </w: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标干流量</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11643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11572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11783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max(D7:F7)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11783</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max(D8:F8)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1.2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max(D9:F9)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2.2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1.40×10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1.39×10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1.41×10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1.41×10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ND</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环大气[2019]56号（200）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3.49×10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3.47×10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3.53×10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max(D14:F14)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氮氧化物折算浓度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max(D15:F15)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4.66×10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4.63×10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5.89×10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5.89×10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2.30</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max(D17:F17)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2.3</w:t>
            </w:r>
            <w:r>
              <w:rPr>
                <w:rFonts w:hint="default" w:ascii="Times New Roman" w:hAnsi="Times New Roman" w:eastAsia="宋体" w:cs="Times New Roman"/>
                <w:color w:val="auto"/>
                <w:kern w:val="0"/>
                <w:sz w:val="21"/>
                <w:szCs w:val="21"/>
                <w:lang w:val="en-US" w:eastAsia="zh-CN" w:bidi="ar"/>
              </w:rPr>
              <w:fldChar w:fldCharType="end"/>
            </w:r>
            <w:r>
              <w:rPr>
                <w:rFonts w:hint="eastAsia" w:ascii="Times New Roman" w:hAnsi="Times New Roman" w:eastAsia="宋体" w:cs="Times New Roman"/>
                <w:color w:val="auto"/>
                <w:kern w:val="0"/>
                <w:sz w:val="21"/>
                <w:szCs w:val="21"/>
                <w:lang w:val="en-US" w:eastAsia="zh-CN" w:bidi="ar"/>
              </w:rPr>
              <w:t>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16297-1996（25）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3.12×10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3.75×10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4.04×10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fldChar w:fldCharType="begin"/>
            </w:r>
            <w:r>
              <w:rPr>
                <w:rFonts w:hint="default" w:ascii="Times New Roman" w:hAnsi="Times New Roman" w:eastAsia="宋体" w:cs="Times New Roman"/>
                <w:color w:val="auto"/>
                <w:spacing w:val="-11"/>
                <w:kern w:val="0"/>
                <w:sz w:val="21"/>
                <w:szCs w:val="21"/>
                <w:lang w:val="en-US" w:eastAsia="zh-CN" w:bidi="ar"/>
              </w:rPr>
              <w:instrText xml:space="preserve"> = max(D18:F18) \* MERGEFORMAT </w:instrText>
            </w:r>
            <w:r>
              <w:rPr>
                <w:rFonts w:hint="default" w:ascii="Times New Roman" w:hAnsi="Times New Roman" w:eastAsia="宋体" w:cs="Times New Roman"/>
                <w:color w:val="auto"/>
                <w:spacing w:val="-11"/>
                <w:kern w:val="0"/>
                <w:sz w:val="21"/>
                <w:szCs w:val="21"/>
                <w:lang w:val="en-US" w:eastAsia="zh-CN" w:bidi="ar"/>
              </w:rPr>
              <w:fldChar w:fldCharType="separate"/>
            </w:r>
            <w:r>
              <w:rPr>
                <w:rFonts w:hint="default" w:ascii="Times New Roman" w:hAnsi="Times New Roman" w:eastAsia="宋体" w:cs="Times New Roman"/>
                <w:color w:val="auto"/>
                <w:spacing w:val="-11"/>
                <w:kern w:val="0"/>
                <w:sz w:val="21"/>
                <w:szCs w:val="21"/>
                <w:lang w:val="en-US" w:eastAsia="zh-CN" w:bidi="ar"/>
              </w:rPr>
              <w:t>4.04</w:t>
            </w:r>
            <w:r>
              <w:rPr>
                <w:rFonts w:hint="default" w:ascii="Times New Roman" w:hAnsi="Times New Roman" w:eastAsia="宋体" w:cs="Times New Roman"/>
                <w:color w:val="auto"/>
                <w:spacing w:val="-11"/>
                <w:kern w:val="0"/>
                <w:sz w:val="21"/>
                <w:szCs w:val="21"/>
                <w:lang w:val="en-US" w:eastAsia="zh-CN" w:bidi="ar"/>
              </w:rPr>
              <w:fldChar w:fldCharType="end"/>
            </w:r>
            <w:r>
              <w:rPr>
                <w:rFonts w:hint="default" w:ascii="Times New Roman" w:hAnsi="Times New Roman" w:eastAsia="宋体" w:cs="Times New Roman"/>
                <w:color w:val="auto"/>
                <w:spacing w:val="-11"/>
                <w:kern w:val="0"/>
                <w:sz w:val="21"/>
                <w:szCs w:val="21"/>
                <w:lang w:val="en-US" w:eastAsia="zh-CN" w:bidi="ar"/>
              </w:rPr>
              <w:t>×10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16297-1996（0.26）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max(D19:F19)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fldChar w:fldCharType="end"/>
            </w:r>
            <w:r>
              <w:rPr>
                <w:rFonts w:hint="eastAsia" w:ascii="Times New Roman" w:hAnsi="Times New Roman" w:eastAsia="宋体" w:cs="Times New Roman"/>
                <w:color w:val="auto"/>
                <w:kern w:val="0"/>
                <w:sz w:val="21"/>
                <w:szCs w:val="21"/>
                <w:lang w:val="en-US" w:eastAsia="zh-CN" w:bidi="ar"/>
              </w:rPr>
              <w:t>.0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5.12×10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4.64×10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t>4.39×10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pacing w:val="-11"/>
                <w:kern w:val="0"/>
                <w:sz w:val="21"/>
                <w:szCs w:val="21"/>
                <w:lang w:val="en-US" w:eastAsia="zh-CN" w:bidi="ar"/>
              </w:rPr>
              <w:fldChar w:fldCharType="begin"/>
            </w:r>
            <w:r>
              <w:rPr>
                <w:rFonts w:hint="default" w:ascii="Times New Roman" w:hAnsi="Times New Roman" w:eastAsia="宋体" w:cs="Times New Roman"/>
                <w:color w:val="auto"/>
                <w:spacing w:val="-11"/>
                <w:kern w:val="0"/>
                <w:sz w:val="21"/>
                <w:szCs w:val="21"/>
                <w:lang w:val="en-US" w:eastAsia="zh-CN" w:bidi="ar"/>
              </w:rPr>
              <w:instrText xml:space="preserve"> = max(D20:F20) \* MERGEFORMAT </w:instrText>
            </w:r>
            <w:r>
              <w:rPr>
                <w:rFonts w:hint="default" w:ascii="Times New Roman" w:hAnsi="Times New Roman" w:eastAsia="宋体" w:cs="Times New Roman"/>
                <w:color w:val="auto"/>
                <w:spacing w:val="-11"/>
                <w:kern w:val="0"/>
                <w:sz w:val="21"/>
                <w:szCs w:val="21"/>
                <w:lang w:val="en-US" w:eastAsia="zh-CN" w:bidi="ar"/>
              </w:rPr>
              <w:fldChar w:fldCharType="separate"/>
            </w:r>
            <w:r>
              <w:rPr>
                <w:rFonts w:hint="default" w:ascii="Times New Roman" w:hAnsi="Times New Roman" w:eastAsia="宋体" w:cs="Times New Roman"/>
                <w:color w:val="auto"/>
                <w:spacing w:val="-11"/>
                <w:kern w:val="0"/>
                <w:sz w:val="21"/>
                <w:szCs w:val="21"/>
                <w:lang w:val="en-US" w:eastAsia="zh-CN" w:bidi="ar"/>
              </w:rPr>
              <w:t>5.12</w:t>
            </w:r>
            <w:r>
              <w:rPr>
                <w:rFonts w:hint="default" w:ascii="Times New Roman" w:hAnsi="Times New Roman" w:eastAsia="宋体" w:cs="Times New Roman"/>
                <w:color w:val="auto"/>
                <w:spacing w:val="-11"/>
                <w:kern w:val="0"/>
                <w:sz w:val="21"/>
                <w:szCs w:val="21"/>
                <w:lang w:val="en-US" w:eastAsia="zh-CN" w:bidi="ar"/>
              </w:rPr>
              <w:fldChar w:fldCharType="end"/>
            </w:r>
            <w:r>
              <w:rPr>
                <w:rFonts w:hint="default" w:ascii="Times New Roman" w:hAnsi="Times New Roman" w:eastAsia="宋体" w:cs="Times New Roman"/>
                <w:color w:val="auto"/>
                <w:spacing w:val="-11"/>
                <w:kern w:val="0"/>
                <w:sz w:val="21"/>
                <w:szCs w:val="21"/>
                <w:lang w:val="en-US" w:eastAsia="zh-CN" w:bidi="ar"/>
              </w:rPr>
              <w:t>×10</w:t>
            </w:r>
            <w:r>
              <w:rPr>
                <w:rFonts w:hint="default" w:ascii="Times New Roman" w:hAnsi="Times New Roman" w:eastAsia="宋体" w:cs="Times New Roman"/>
                <w:color w:val="auto"/>
                <w:spacing w:val="-11"/>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GB 14554-1993（4.9）</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max(D21:F21)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3.17</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11"/>
                <w:sz w:val="21"/>
                <w:szCs w:val="21"/>
                <w:lang w:val="en-US" w:eastAsia="zh-CN"/>
              </w:rPr>
              <w:t>DB 13/2322-2016</w:t>
            </w: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65.0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烟气黑度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级</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DB13/1640-2012（</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2086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二氧化硫</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氮氧化物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甲醛</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氨</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1800小时</w:t>
            </w:r>
            <w:r>
              <w:rPr>
                <w:rFonts w:hint="default" w:ascii="Times New Roman" w:hAnsi="Times New Roman" w:eastAsia="宋体" w:cs="Times New Roman"/>
                <w:b w:val="0"/>
                <w:bCs/>
                <w:spacing w:val="0"/>
                <w:sz w:val="21"/>
                <w:szCs w:val="21"/>
                <w:highlight w:val="none"/>
                <w:lang w:val="en-US" w:eastAsia="zh-CN"/>
              </w:rPr>
              <w:t>；</w:t>
            </w:r>
            <w:r>
              <w:rPr>
                <w:rFonts w:hint="eastAsia" w:ascii="Times New Roman" w:hAnsi="Times New Roman" w:eastAsia="宋体" w:cs="Times New Roman"/>
                <w:b w:val="0"/>
                <w:bCs/>
                <w:spacing w:val="0"/>
                <w:sz w:val="21"/>
                <w:szCs w:val="21"/>
                <w:highlight w:val="none"/>
                <w:lang w:val="en-US" w:eastAsia="zh-CN"/>
              </w:rPr>
              <w:t>二氧化硫未检出，年排放量以检出限一半计算的得出</w:t>
            </w:r>
          </w:p>
        </w:tc>
      </w:tr>
    </w:tbl>
    <w:p>
      <w:pPr>
        <w:rPr>
          <w:rFonts w:hint="default" w:ascii="Times New Roman" w:hAnsi="Times New Roman" w:cs="Times New Roman"/>
        </w:rPr>
      </w:pPr>
      <w:bookmarkStart w:id="92" w:name="_Toc503681484"/>
      <w:bookmarkStart w:id="93" w:name="_Toc504325372"/>
      <w:bookmarkStart w:id="94" w:name="_Toc503969735"/>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2"/>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2022.09.19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1.08</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1.03</w:t>
            </w:r>
          </w:p>
        </w:tc>
        <w:tc>
          <w:tcPr>
            <w:tcW w:w="1706"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tc>
        <w:tc>
          <w:tcPr>
            <w:tcW w:w="1708"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1.86</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2022.09.20</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0.94</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eastAsia"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0.95</w:t>
            </w:r>
          </w:p>
        </w:tc>
        <w:tc>
          <w:tcPr>
            <w:tcW w:w="1706"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1708"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0.85</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1.58</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1.75</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甲醛</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2022.09.19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0.190</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0.181</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0.172</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0.138</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0.146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0.164</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eastAsia" w:eastAsia="宋体" w:cs="Times New Roman"/>
                <w:kern w:val="0"/>
                <w:sz w:val="21"/>
                <w:szCs w:val="21"/>
                <w:lang w:val="en-US" w:eastAsia="zh-CN" w:bidi="ar-SA"/>
              </w:rPr>
            </w:pPr>
            <w:r>
              <w:rPr>
                <w:rFonts w:hint="eastAsia" w:eastAsia="宋体" w:cs="Times New Roman"/>
                <w:kern w:val="0"/>
                <w:sz w:val="21"/>
                <w:szCs w:val="21"/>
                <w:lang w:val="en-US" w:eastAsia="zh-CN" w:bidi="ar-SA"/>
              </w:rPr>
              <w:t>甲醛</w:t>
            </w:r>
          </w:p>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2022.09.20</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0.145</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0.134</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0.171</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0.161</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tcBorders/>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0.180</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0.179</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氨</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2022.09.19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0.23</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0.22</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0.19</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0.24</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eastAsia" w:eastAsia="宋体" w:cs="Times New Roman"/>
                <w:kern w:val="0"/>
                <w:sz w:val="21"/>
                <w:szCs w:val="21"/>
                <w:lang w:val="en-US" w:eastAsia="zh-CN" w:bidi="ar-SA"/>
              </w:rPr>
            </w:pPr>
            <w:r>
              <w:rPr>
                <w:rFonts w:hint="eastAsia" w:eastAsia="宋体" w:cs="Times New Roman"/>
                <w:kern w:val="0"/>
                <w:sz w:val="21"/>
                <w:szCs w:val="21"/>
                <w:lang w:val="en-US" w:eastAsia="zh-CN" w:bidi="ar-SA"/>
              </w:rPr>
              <w:t>氨</w:t>
            </w:r>
          </w:p>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2022.09.20</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0.24</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0.25</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0.19</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0.27</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0.20</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0.25</w:t>
            </w:r>
          </w:p>
        </w:tc>
      </w:tr>
    </w:tbl>
    <w:p>
      <w:pPr>
        <w:rPr>
          <w:rFonts w:hint="default" w:ascii="Times New Roman" w:hAnsi="Times New Roman" w:cs="Times New Roman"/>
        </w:rPr>
      </w:pPr>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3"/>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2021.09.19</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2021.09.20</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58.2</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57.9</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56.3</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56.7</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55.1</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55.7</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57.4</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57.0</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adjustRightInd w:val="0"/>
        <w:snapToGrid w:val="0"/>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bookmarkStart w:id="100" w:name="_Toc6604"/>
      <w:bookmarkStart w:id="101" w:name="_Toc6889"/>
      <w:bookmarkStart w:id="102" w:name="_Toc1528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生产</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cs="Times New Roman"/>
          <w:color w:val="000000" w:themeColor="text1"/>
          <w:spacing w:val="-2"/>
          <w:sz w:val="24"/>
          <w:lang w:val="en-US" w:eastAsia="zh-CN"/>
          <w14:textFill>
            <w14:solidFill>
              <w14:schemeClr w14:val="tx1"/>
            </w14:solidFill>
          </w14:textFill>
        </w:rPr>
        <w:t>冷凝塔+电捕焦油器+活性炭吸附箱</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二氧化硫未检出</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烟气黑度最大值＜1级，均满足《工业炉窑大气污染物排放标准》（DB13/ 1640-2012）表1中工业炉窑颗粒物排放限值中新建炉窑排放标准、表2工业炉窑有害污染物排放限值及《工业炉窑大气污染综合治理方案》（环大气[2019]56号）文件要求（</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烟气黑度</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1级</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2.55</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4.38×10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《大气污染物综合排放标准》（GB16297-1996）表2中二级标准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0.26k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氨</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5.33×10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满足《恶臭污染物排放标准》（GB14554-1993）表2标准限值（氨排放速率：4.9k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3.72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满足《工业企业挥发性有机物排放控制标准》（DB 13/2322-2016）表1中其他行业污染物浓度限值（</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无组织氨</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，满足《恶臭污染物排放标准》（GB14554-1993）表1二级新扩改建标准（氨：1.5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）；无组织甲醛</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0.190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，满足《大气污染物综合排放标准》（GB16297-1996）表2中无组织排放监控浓度限值（甲醛：0.20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厂区内无组织非甲烷总烃最高排放浓度为</w:t>
      </w:r>
      <w:r>
        <w:rPr>
          <w:rFonts w:hint="eastAsia" w:ascii="Times New Roman" w:hAnsi="Times New Roman" w:eastAsia="宋体" w:cs="Times New Roman"/>
          <w:sz w:val="24"/>
          <w:szCs w:val="24"/>
          <w:lang w:val="en-US" w:eastAsia="zh-CN"/>
        </w:rPr>
        <w:t>2.00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 37822-2019）表A.1厂区内VOC</w:t>
      </w:r>
      <w:r>
        <w:rPr>
          <w:rFonts w:hint="eastAsia" w:ascii="Times New Roman" w:hAnsi="Times New Roman" w:cs="Times New Roman"/>
          <w:color w:val="auto"/>
          <w:spacing w:val="0"/>
          <w:w w:val="100"/>
          <w:kern w:val="2"/>
          <w:sz w:val="24"/>
          <w:szCs w:val="24"/>
          <w:highlight w:val="none"/>
          <w:vertAlign w:val="subscript"/>
          <w:lang w:val="en-US" w:eastAsia="zh-CN" w:bidi="ar-SA"/>
        </w:rPr>
        <w:t>S</w:t>
      </w:r>
      <w:r>
        <w:rPr>
          <w:rFonts w:hint="eastAsia" w:ascii="Times New Roman" w:hAnsi="Times New Roman"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技改项目完成后，全厂污染物核定排放总量控制指标为COD：0t/a、氨氮：0t/a、SO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：0.191/a、NO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：0.286t/a、颗粒物：0.029t/a、非甲烷总烃：9.6t/a、甲醛：3t/a、氨：11.76t/a。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实际排放污染物总量为：COD：0t/a、氨氮：0t/a、SO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：0.029/a、NO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：0.090t/a、颗粒物：0.025t/a、非甲烷总烃：0.068t/a、甲醛：0.047t/a、氨：0.061t/a。满足环评中总量控制要求</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河北博清玻璃纤维制品有限公司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294178076"/>
      <w:bookmarkStart w:id="111" w:name="_Toc504325381"/>
      <w:bookmarkStart w:id="112" w:name="_Toc412705194"/>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504325382"/>
      <w:bookmarkStart w:id="115" w:name="_Toc294178077"/>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河北博清玻璃纤维制品有限公司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2705196"/>
      <w:bookmarkStart w:id="120" w:name="_Toc504325383"/>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7"/>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adjustRightInd w:val="0"/>
        <w:snapToGrid w:val="0"/>
        <w:spacing w:line="360" w:lineRule="auto"/>
        <w:ind w:firstLine="472" w:firstLineChars="200"/>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生产</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cs="Times New Roman"/>
          <w:color w:val="000000" w:themeColor="text1"/>
          <w:spacing w:val="-2"/>
          <w:sz w:val="24"/>
          <w:lang w:val="en-US" w:eastAsia="zh-CN"/>
          <w14:textFill>
            <w14:solidFill>
              <w14:schemeClr w14:val="tx1"/>
            </w14:solidFill>
          </w14:textFill>
        </w:rPr>
        <w:t>冷凝塔+电捕焦油器+活性炭吸附箱</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二氧化硫未检出</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烟气黑度最大值＜1级，均满足《工业炉窑大气污染物排放标准》（DB13/ 1640-2012）表1中工业炉窑颗粒物排放限值中新建炉窑排放标准、表2工业炉窑有害污染物排放限值及《工业炉窑大气污染综合治理方案》（环大气[2019]56号）文件要求（</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烟气黑度</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1级</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2.55</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4.38×10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《大气污染物综合排放标准》（GB16297-1996）表2中二级标准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0.26k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氨</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5.33×10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满足《恶臭污染物排放标准》（GB14554-1993）表2标准限值（氨排放速率：4.9k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3.72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满足《工业企业挥发性有机物排放控制标准》（DB 13/2322-2016）表1中其他行业污染物浓度限值（</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无组织氨</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，满足《恶臭污染物排放标准》（GB14554-1993）表1二级新扩改建标准（氨：1.5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）；无组织甲醛</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0.190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，满足《大气污染物综合排放标准》（GB16297-1996）表2中无组织排放监控浓度限值（甲醛：0.20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2.00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 37822-2019）表A.1厂区内VOC</w:t>
      </w:r>
      <w:r>
        <w:rPr>
          <w:rFonts w:hint="eastAsia" w:ascii="Times New Roman" w:hAnsi="Times New Roman" w:cs="Times New Roman"/>
          <w:color w:val="auto"/>
          <w:spacing w:val="0"/>
          <w:w w:val="100"/>
          <w:kern w:val="2"/>
          <w:sz w:val="24"/>
          <w:szCs w:val="24"/>
          <w:highlight w:val="none"/>
          <w:vertAlign w:val="subscript"/>
          <w:lang w:val="en-US" w:eastAsia="zh-CN" w:bidi="ar-SA"/>
        </w:rPr>
        <w:t>S</w:t>
      </w:r>
      <w:r>
        <w:rPr>
          <w:rFonts w:hint="eastAsia" w:ascii="Times New Roman" w:hAnsi="Times New Roman"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rPr>
          <w:rFonts w:hint="default" w:ascii="Times New Roman" w:hAnsi="Times New Roman" w:cs="Times New Roman"/>
          <w:szCs w:val="24"/>
        </w:rPr>
      </w:pPr>
      <w:r>
        <w:rPr>
          <w:rFonts w:hint="default" w:ascii="Times New Roman" w:hAnsi="Times New Roman" w:cs="Times New Roman"/>
          <w:szCs w:val="24"/>
        </w:rPr>
        <w:br w:type="page"/>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技改项目无新增生产废水；无新增劳动定员，不新增职工生活污水；技改后，全厂废水为废气治理设施产生的冷凝水，回用于涂胶工序，不外排，职工生活污水排入厂区防渗旱厕，定期清掏，不外排</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技改项目建成后，全厂固体废物包括分卷工序产生的下脚料，废气治理设施电捕过程产生的废胶、活性炭吸附装置产生的废活性炭。</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lang w:val="en-US" w:eastAsia="zh-CN"/>
        </w:rPr>
        <w:t>分卷工序产生下脚料，统一收集后外售；废胶采用密闭桶装，废活性炭采用密闭胶袋包装收集，收集后于厂区危废暂存间暂存，定期交有资质单位清运处置</w:t>
      </w:r>
      <w:r>
        <w:rPr>
          <w:rFonts w:hint="eastAsia" w:ascii="宋体" w:hAnsi="宋体" w:eastAsia="宋体" w:cs="宋体"/>
          <w:color w:val="auto"/>
        </w:rPr>
        <w:t>。</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技改项目完成后，全厂污染物核定排放总量控制指标为COD：0t/a、氨氮：0t/a、SO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：0.191/a、NO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：0.286t/a、颗粒物：0.029t/a、非甲烷总烃：9.6t/a、甲醛：3t/a、氨：11.76t/a。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实际排放污染物总量为：COD：0t/a、氨氮：0t/a、SO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：0.029/a、NO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：0.090t/a、颗粒物：0.025t/a、非甲烷总烃：0.068t/a、甲醛：0.047t/a、氨：0.061t/a。满足环评中总量控制要求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-1312545</wp:posOffset>
            </wp:positionH>
            <wp:positionV relativeFrom="paragraph">
              <wp:posOffset>1648460</wp:posOffset>
            </wp:positionV>
            <wp:extent cx="8639810" cy="6120130"/>
            <wp:effectExtent l="0" t="0" r="13970" b="8890"/>
            <wp:wrapNone/>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-1325245</wp:posOffset>
            </wp:positionH>
            <wp:positionV relativeFrom="paragraph">
              <wp:posOffset>1651635</wp:posOffset>
            </wp:positionV>
            <wp:extent cx="8639810" cy="6120130"/>
            <wp:effectExtent l="0" t="0" r="13970" b="8890"/>
            <wp:wrapNone/>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267970</wp:posOffset>
            </wp:positionV>
            <wp:extent cx="5990590" cy="3286125"/>
            <wp:effectExtent l="0" t="0" r="10160" b="952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990590" cy="328612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363220</wp:posOffset>
            </wp:positionH>
            <wp:positionV relativeFrom="paragraph">
              <wp:posOffset>41910</wp:posOffset>
            </wp:positionV>
            <wp:extent cx="5272405" cy="7295515"/>
            <wp:effectExtent l="0" t="0" r="4445" b="635"/>
            <wp:wrapNone/>
            <wp:docPr id="14" name="图片 14" descr="9d7589a91360903ab4c548a49ec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d7589a91360903ab4c548a49ec3423"/>
                    <pic:cNvPicPr>
                      <a:picLocks noChangeAspect="1"/>
                    </pic:cNvPicPr>
                  </pic:nvPicPr>
                  <pic:blipFill>
                    <a:blip r:embed="rId16"/>
                    <a:stretch>
                      <a:fillRect/>
                    </a:stretch>
                  </pic:blipFill>
                  <pic:spPr>
                    <a:xfrm>
                      <a:off x="0" y="0"/>
                      <a:ext cx="5272405" cy="729551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558800</wp:posOffset>
            </wp:positionH>
            <wp:positionV relativeFrom="paragraph">
              <wp:posOffset>102870</wp:posOffset>
            </wp:positionV>
            <wp:extent cx="5271770" cy="7353935"/>
            <wp:effectExtent l="0" t="0" r="5080" b="18415"/>
            <wp:wrapNone/>
            <wp:docPr id="3" name="图片 3" descr="1c6e280b0b1409ed0528f5123a16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6e280b0b1409ed0528f5123a16c73"/>
                    <pic:cNvPicPr>
                      <a:picLocks noChangeAspect="1"/>
                    </pic:cNvPicPr>
                  </pic:nvPicPr>
                  <pic:blipFill>
                    <a:blip r:embed="rId17"/>
                    <a:stretch>
                      <a:fillRect/>
                    </a:stretch>
                  </pic:blipFill>
                  <pic:spPr>
                    <a:xfrm>
                      <a:off x="0" y="0"/>
                      <a:ext cx="5271770" cy="7353935"/>
                    </a:xfrm>
                    <a:prstGeom prst="rect">
                      <a:avLst/>
                    </a:prstGeom>
                  </pic:spPr>
                </pic:pic>
              </a:graphicData>
            </a:graphic>
          </wp:anchor>
        </w:drawing>
      </w: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8480" behindDoc="0" locked="0" layoutInCell="1" allowOverlap="1">
            <wp:simplePos x="0" y="0"/>
            <wp:positionH relativeFrom="column">
              <wp:posOffset>-177165</wp:posOffset>
            </wp:positionH>
            <wp:positionV relativeFrom="paragraph">
              <wp:posOffset>384175</wp:posOffset>
            </wp:positionV>
            <wp:extent cx="5996940" cy="8479155"/>
            <wp:effectExtent l="0" t="0" r="3810" b="17145"/>
            <wp:wrapNone/>
            <wp:docPr id="15" name="图片 15" descr="4营业执照-博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营业执照-博清"/>
                    <pic:cNvPicPr>
                      <a:picLocks noChangeAspect="1"/>
                    </pic:cNvPicPr>
                  </pic:nvPicPr>
                  <pic:blipFill>
                    <a:blip r:embed="rId18"/>
                    <a:stretch>
                      <a:fillRect/>
                    </a:stretch>
                  </pic:blipFill>
                  <pic:spPr>
                    <a:xfrm>
                      <a:off x="0" y="0"/>
                      <a:ext cx="5996940" cy="8479155"/>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河北博清玻璃纤维制品有限公司 </w:t>
      </w:r>
      <w:r>
        <w:rPr>
          <w:rFonts w:hint="default" w:ascii="Times New Roman" w:hAnsi="Times New Roman" w:cs="Times New Roman"/>
        </w:rPr>
        <w:t xml:space="preserve"> 填表人（签字）：            项目经办人（签字）：</w:t>
      </w:r>
    </w:p>
    <w:tbl>
      <w:tblPr>
        <w:tblStyle w:val="33"/>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网格布生产线技改项目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河间市卧佛堂镇东告村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C3061玻璃纤维及制品制造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1503045</wp:posOffset>
                      </wp:positionH>
                      <wp:positionV relativeFrom="paragraph">
                        <wp:posOffset>59690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18.35pt;margin-top:4.7pt;height:5.6pt;width:5.25pt;z-index:251660288;v-text-anchor:middle;mso-width-relative:page;mso-height-relative:page;" fillcolor="#FFFFFF [3212]" filled="t" stroked="t" coordsize="21600,21600" o:gfxdata="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Ju+b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2280285</wp:posOffset>
                      </wp:positionH>
                      <wp:positionV relativeFrom="paragraph">
                        <wp:posOffset>65405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79.55pt;margin-top:5.15pt;height:5.6pt;width:5.25pt;z-index:251661312;v-text-anchor:middle;mso-width-relative:page;mso-height-relative:page;" fillcolor="#000000 [3213]" filled="t" stroked="t" coordsize="21600,21600" o:gfxdata="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ohjd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年产网格布2000万平方米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年产网格布2000万平方米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河环表[2022]（07-16）号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1800小时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河北博清玻璃纤维制品有限公司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91130984MA0E262R02</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default"/>
                <w:b/>
                <w:bCs w:val="0"/>
                <w:sz w:val="15"/>
                <w:szCs w:val="15"/>
                <w:lang w:val="en-US" w:eastAsia="zh-CN"/>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2086</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2086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颗粒物</w:t>
            </w:r>
          </w:p>
        </w:tc>
        <w:tc>
          <w:tcPr>
            <w:tcW w:w="85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2.2</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30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0.025</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0.025</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二氧化硫</w:t>
            </w:r>
          </w:p>
        </w:tc>
        <w:tc>
          <w:tcPr>
            <w:tcW w:w="85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default" w:ascii="Times New Roman" w:hAnsi="Times New Roman" w:cs="Times New Roman"/>
                <w:b/>
                <w:bCs w:val="0"/>
                <w:sz w:val="15"/>
                <w:szCs w:val="15"/>
                <w:lang w:val="en-US" w:eastAsia="zh-CN"/>
              </w:rPr>
              <w:t>＜</w:t>
            </w:r>
            <w:r>
              <w:rPr>
                <w:rFonts w:hint="eastAsia" w:ascii="Times New Roman" w:hAnsi="Times New Roman" w:cs="Times New Roman"/>
                <w:b/>
                <w:bCs w:val="0"/>
                <w:sz w:val="15"/>
                <w:szCs w:val="15"/>
                <w:lang w:val="en-US" w:eastAsia="zh-CN"/>
              </w:rPr>
              <w:t>3</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200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0.029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0.029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氮氧化物</w:t>
            </w:r>
          </w:p>
        </w:tc>
        <w:tc>
          <w:tcPr>
            <w:tcW w:w="85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heme="minorHAnsi" w:hAnsiTheme="minorHAnsi" w:eastAsiaTheme="minorEastAsia"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300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0.090</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0.090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非甲烷总烃</w:t>
            </w:r>
          </w:p>
        </w:tc>
        <w:tc>
          <w:tcPr>
            <w:tcW w:w="85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3.72</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80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0.068</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0.068</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default"/>
                <w:b/>
                <w:bCs w:val="0"/>
                <w:sz w:val="15"/>
                <w:szCs w:val="15"/>
                <w:lang w:val="en-US" w:eastAsia="zh-CN"/>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甲醛</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2.55</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25</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0.047</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0.047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5.33×10</w:t>
            </w:r>
            <w:r>
              <w:rPr>
                <w:rFonts w:hint="eastAsia" w:ascii="Times New Roman" w:hAnsi="Times New Roman" w:cs="Times New Roman"/>
                <w:b/>
                <w:bCs w:val="0"/>
                <w:sz w:val="15"/>
                <w:szCs w:val="15"/>
                <w:vertAlign w:val="superscript"/>
                <w:lang w:val="en-US" w:eastAsia="zh-CN"/>
              </w:rPr>
              <w:t>-2</w:t>
            </w:r>
            <w:r>
              <w:rPr>
                <w:rFonts w:hint="eastAsia" w:ascii="Times New Roman" w:hAnsi="Times New Roman" w:cs="Times New Roman"/>
                <w:b/>
                <w:bCs w:val="0"/>
                <w:sz w:val="15"/>
                <w:szCs w:val="15"/>
                <w:lang w:val="en-US" w:eastAsia="zh-CN"/>
              </w:rPr>
              <w:t>kg/h</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4.9kg/h</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0.061</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0.061</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10609000101010101"/>
    <w:charset w:val="88"/>
    <w:family w:val="modern"/>
    <w:pitch w:val="default"/>
    <w:sig w:usb0="00000000" w:usb1="0000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default"/>
        <w:lang w:val="en-US"/>
      </w:rPr>
    </w:pPr>
    <w:r>
      <w:rPr>
        <w:rFonts w:hint="eastAsia" w:ascii="Times New Roman" w:hAnsi="Times New Roman" w:eastAsia="宋体" w:cs="Times New Roman"/>
        <w:color w:val="000000"/>
        <w:szCs w:val="21"/>
        <w:lang w:val="en-US" w:eastAsia="zh-CN"/>
      </w:rPr>
      <w:t>河北博清玻璃纤维制品有限公司网格布生产线技改项目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8DDC21"/>
    <w:multiLevelType w:val="singleLevel"/>
    <w:tmpl w:val="DB8DDC21"/>
    <w:lvl w:ilvl="0" w:tentative="0">
      <w:start w:val="1"/>
      <w:numFmt w:val="decimal"/>
      <w:suff w:val="nothing"/>
      <w:lvlText w:val="%1、"/>
      <w:lvlJc w:val="left"/>
    </w:lvl>
  </w:abstractNum>
  <w:abstractNum w:abstractNumId="1">
    <w:nsid w:val="5FB44812"/>
    <w:multiLevelType w:val="singleLevel"/>
    <w:tmpl w:val="5FB44812"/>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mU5ZjY4ZDNjNjM0Zjc0OWEyY2I3YTM1ZWQwYzM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07598"/>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23F6C"/>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67990"/>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66E1B"/>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4F13E7"/>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52816"/>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404EB"/>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238E6"/>
    <w:rsid w:val="19571B1A"/>
    <w:rsid w:val="1958764A"/>
    <w:rsid w:val="196204A5"/>
    <w:rsid w:val="196952AB"/>
    <w:rsid w:val="196C5FAC"/>
    <w:rsid w:val="196D097D"/>
    <w:rsid w:val="196E4C5D"/>
    <w:rsid w:val="19715C96"/>
    <w:rsid w:val="19885BE7"/>
    <w:rsid w:val="19905C83"/>
    <w:rsid w:val="19924AEA"/>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B43A8"/>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B3CAA"/>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2E71AF"/>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92DFC"/>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1950F6"/>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50230"/>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72572E"/>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5F46A5A"/>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7B5034"/>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131F5"/>
    <w:rsid w:val="49873BD4"/>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80C69"/>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1F21AD"/>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B23556"/>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5383E"/>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22E1"/>
    <w:rsid w:val="5C79454C"/>
    <w:rsid w:val="5C7A2D0C"/>
    <w:rsid w:val="5C7A7BF4"/>
    <w:rsid w:val="5C851DB4"/>
    <w:rsid w:val="5C905C78"/>
    <w:rsid w:val="5C9E4861"/>
    <w:rsid w:val="5CA37EF3"/>
    <w:rsid w:val="5CA53EFD"/>
    <w:rsid w:val="5CAF70F0"/>
    <w:rsid w:val="5CB248C0"/>
    <w:rsid w:val="5CB90818"/>
    <w:rsid w:val="5CC45145"/>
    <w:rsid w:val="5CE42BA3"/>
    <w:rsid w:val="5CE66607"/>
    <w:rsid w:val="5CE66F88"/>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064E7"/>
    <w:rsid w:val="601226B0"/>
    <w:rsid w:val="602118F7"/>
    <w:rsid w:val="60211E1F"/>
    <w:rsid w:val="60245168"/>
    <w:rsid w:val="6031327A"/>
    <w:rsid w:val="60365A38"/>
    <w:rsid w:val="603B3FDB"/>
    <w:rsid w:val="603E3647"/>
    <w:rsid w:val="604010F4"/>
    <w:rsid w:val="604D518A"/>
    <w:rsid w:val="60553C4D"/>
    <w:rsid w:val="605807B8"/>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92217"/>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50236"/>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5967A0"/>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7D7D98"/>
    <w:rsid w:val="6C8968BF"/>
    <w:rsid w:val="6C8B0873"/>
    <w:rsid w:val="6C8F4878"/>
    <w:rsid w:val="6C910912"/>
    <w:rsid w:val="6C914362"/>
    <w:rsid w:val="6C920376"/>
    <w:rsid w:val="6C967404"/>
    <w:rsid w:val="6C9A553D"/>
    <w:rsid w:val="6CA14387"/>
    <w:rsid w:val="6CAE091F"/>
    <w:rsid w:val="6CB552CE"/>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1774D"/>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AF719E"/>
    <w:rsid w:val="75BF1CA9"/>
    <w:rsid w:val="75C4240E"/>
    <w:rsid w:val="75C440B3"/>
    <w:rsid w:val="75C512B1"/>
    <w:rsid w:val="75D32685"/>
    <w:rsid w:val="75DF7B1D"/>
    <w:rsid w:val="75E023B5"/>
    <w:rsid w:val="75EE088F"/>
    <w:rsid w:val="75F025ED"/>
    <w:rsid w:val="75FF6443"/>
    <w:rsid w:val="760115D8"/>
    <w:rsid w:val="760466E4"/>
    <w:rsid w:val="761A26B7"/>
    <w:rsid w:val="762454A4"/>
    <w:rsid w:val="7642754D"/>
    <w:rsid w:val="764444F1"/>
    <w:rsid w:val="764A7774"/>
    <w:rsid w:val="765D4AD1"/>
    <w:rsid w:val="765E4E18"/>
    <w:rsid w:val="766524E1"/>
    <w:rsid w:val="76653F89"/>
    <w:rsid w:val="766B694C"/>
    <w:rsid w:val="76760B44"/>
    <w:rsid w:val="76840AC7"/>
    <w:rsid w:val="76896901"/>
    <w:rsid w:val="768E5068"/>
    <w:rsid w:val="76991C80"/>
    <w:rsid w:val="76C400BA"/>
    <w:rsid w:val="76C46B5E"/>
    <w:rsid w:val="76C52B4B"/>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4115A"/>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17BE2"/>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D4836"/>
    <w:rsid w:val="7CD65610"/>
    <w:rsid w:val="7CDE73E1"/>
    <w:rsid w:val="7CED1392"/>
    <w:rsid w:val="7CF74207"/>
    <w:rsid w:val="7CFB7376"/>
    <w:rsid w:val="7D13002B"/>
    <w:rsid w:val="7D2D13A8"/>
    <w:rsid w:val="7D2D6F2A"/>
    <w:rsid w:val="7D3126F3"/>
    <w:rsid w:val="7D35110B"/>
    <w:rsid w:val="7D37413C"/>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0"/>
    <w:qFormat/>
    <w:uiPriority w:val="0"/>
    <w:pPr>
      <w:spacing w:line="480" w:lineRule="atLeast"/>
      <w:outlineLvl w:val="0"/>
    </w:pPr>
    <w:rPr>
      <w:rFonts w:ascii="宋体" w:hAnsi="宋体" w:eastAsia="宋体"/>
      <w:b/>
      <w:sz w:val="30"/>
      <w:szCs w:val="30"/>
    </w:rPr>
  </w:style>
  <w:style w:type="paragraph" w:styleId="7">
    <w:name w:val="heading 2"/>
    <w:basedOn w:val="6"/>
    <w:next w:val="1"/>
    <w:link w:val="41"/>
    <w:qFormat/>
    <w:uiPriority w:val="0"/>
    <w:pPr>
      <w:outlineLvl w:val="1"/>
    </w:pPr>
    <w:rPr>
      <w:sz w:val="28"/>
    </w:rPr>
  </w:style>
  <w:style w:type="paragraph" w:styleId="8">
    <w:name w:val="heading 3"/>
    <w:basedOn w:val="1"/>
    <w:next w:val="1"/>
    <w:link w:val="42"/>
    <w:qFormat/>
    <w:uiPriority w:val="0"/>
    <w:pPr>
      <w:spacing w:line="480" w:lineRule="atLeast"/>
      <w:outlineLvl w:val="2"/>
    </w:pPr>
    <w:rPr>
      <w:rFonts w:ascii="宋体" w:hAnsi="宋体" w:eastAsia="宋体"/>
      <w:sz w:val="24"/>
      <w:szCs w:val="24"/>
    </w:rPr>
  </w:style>
  <w:style w:type="paragraph" w:styleId="9">
    <w:name w:val="heading 4"/>
    <w:basedOn w:val="1"/>
    <w:next w:val="2"/>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9"/>
    <w:qFormat/>
    <w:uiPriority w:val="0"/>
    <w:pPr>
      <w:ind w:firstLine="420" w:firstLineChars="200"/>
    </w:pPr>
    <w:rPr>
      <w:rFonts w:eastAsia="宋体"/>
      <w:szCs w:val="24"/>
    </w:rPr>
  </w:style>
  <w:style w:type="paragraph" w:customStyle="1" w:styleId="3">
    <w:name w:val="样式 正文文本 + 首行缩进:  2 字符"/>
    <w:basedOn w:val="4"/>
    <w:next w:val="1"/>
    <w:qFormat/>
    <w:uiPriority w:val="0"/>
    <w:pPr>
      <w:spacing w:line="480" w:lineRule="exact"/>
      <w:ind w:firstLine="480" w:firstLineChars="200"/>
    </w:pPr>
    <w:rPr>
      <w:rFonts w:ascii="宋体" w:hAnsi="宋体" w:eastAsia="宋体" w:cs="宋体"/>
      <w:sz w:val="24"/>
      <w:szCs w:val="20"/>
    </w:rPr>
  </w:style>
  <w:style w:type="paragraph" w:styleId="4">
    <w:name w:val="Body Text"/>
    <w:basedOn w:val="1"/>
    <w:next w:val="5"/>
    <w:link w:val="78"/>
    <w:qFormat/>
    <w:uiPriority w:val="0"/>
    <w:rPr>
      <w:rFonts w:ascii="Times New Roman" w:hAnsi="Times New Roman" w:eastAsia="宋体" w:cs="Times New Roman"/>
      <w:sz w:val="32"/>
      <w:szCs w:val="20"/>
    </w:rPr>
  </w:style>
  <w:style w:type="paragraph" w:styleId="5">
    <w:name w:val="List Bullet 5"/>
    <w:basedOn w:val="1"/>
    <w:semiHidden/>
    <w:unhideWhenUsed/>
    <w:qFormat/>
    <w:uiPriority w:val="99"/>
    <w:pPr>
      <w:numPr>
        <w:ilvl w:val="0"/>
        <w:numId w:val="1"/>
      </w:numPr>
    </w:pPr>
  </w:style>
  <w:style w:type="paragraph" w:styleId="10">
    <w:name w:val="caption"/>
    <w:basedOn w:val="1"/>
    <w:next w:val="1"/>
    <w:link w:val="70"/>
    <w:qFormat/>
    <w:uiPriority w:val="0"/>
    <w:pPr>
      <w:jc w:val="center"/>
    </w:pPr>
    <w:rPr>
      <w:rFonts w:ascii="宋体" w:hAnsi="Arial" w:eastAsia="宋体" w:cs="Arial"/>
    </w:rPr>
  </w:style>
  <w:style w:type="paragraph" w:styleId="11">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12">
    <w:name w:val="annotation text"/>
    <w:basedOn w:val="1"/>
    <w:link w:val="52"/>
    <w:qFormat/>
    <w:uiPriority w:val="0"/>
    <w:pPr>
      <w:jc w:val="left"/>
    </w:pPr>
    <w:rPr>
      <w:szCs w:val="24"/>
    </w:rPr>
  </w:style>
  <w:style w:type="paragraph" w:styleId="13">
    <w:name w:val="Body Text 3"/>
    <w:basedOn w:val="1"/>
    <w:link w:val="74"/>
    <w:qFormat/>
    <w:uiPriority w:val="0"/>
    <w:pPr>
      <w:spacing w:after="120"/>
    </w:pPr>
    <w:rPr>
      <w:rFonts w:ascii="Times New Roman" w:hAnsi="Times New Roman" w:eastAsia="宋体" w:cs="Times New Roman"/>
      <w:sz w:val="16"/>
      <w:szCs w:val="16"/>
    </w:rPr>
  </w:style>
  <w:style w:type="paragraph" w:styleId="14">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2"/>
    <w:qFormat/>
    <w:uiPriority w:val="0"/>
    <w:rPr>
      <w:rFonts w:ascii="宋体" w:hAnsi="Courier New" w:eastAsia="宋体"/>
    </w:rPr>
  </w:style>
  <w:style w:type="paragraph" w:styleId="18">
    <w:name w:val="Date"/>
    <w:basedOn w:val="1"/>
    <w:next w:val="1"/>
    <w:link w:val="45"/>
    <w:unhideWhenUsed/>
    <w:qFormat/>
    <w:uiPriority w:val="0"/>
    <w:pPr>
      <w:ind w:left="100" w:leftChars="2500"/>
    </w:pPr>
  </w:style>
  <w:style w:type="paragraph" w:styleId="19">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4"/>
    <w:unhideWhenUsed/>
    <w:qFormat/>
    <w:uiPriority w:val="0"/>
    <w:rPr>
      <w:sz w:val="18"/>
      <w:szCs w:val="18"/>
    </w:rPr>
  </w:style>
  <w:style w:type="paragraph" w:styleId="21">
    <w:name w:val="footer"/>
    <w:basedOn w:val="1"/>
    <w:link w:val="47"/>
    <w:unhideWhenUsed/>
    <w:qFormat/>
    <w:uiPriority w:val="99"/>
    <w:pPr>
      <w:tabs>
        <w:tab w:val="center" w:pos="4153"/>
        <w:tab w:val="right" w:pos="8306"/>
      </w:tabs>
      <w:snapToGrid w:val="0"/>
      <w:jc w:val="left"/>
    </w:pPr>
    <w:rPr>
      <w:sz w:val="18"/>
      <w:szCs w:val="18"/>
    </w:rPr>
  </w:style>
  <w:style w:type="paragraph" w:styleId="22">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81"/>
    <w:qFormat/>
    <w:uiPriority w:val="0"/>
    <w:pPr>
      <w:ind w:firstLine="540"/>
    </w:pPr>
    <w:rPr>
      <w:rFonts w:hint="eastAsia" w:ascii="宋体" w:hAnsi="Times New Roman" w:eastAsia="宋体" w:cs="Times New Roman"/>
      <w:sz w:val="28"/>
      <w:szCs w:val="20"/>
    </w:rPr>
  </w:style>
  <w:style w:type="paragraph" w:styleId="26">
    <w:name w:val="toc 2"/>
    <w:basedOn w:val="1"/>
    <w:next w:val="1"/>
    <w:unhideWhenUsed/>
    <w:qFormat/>
    <w:uiPriority w:val="39"/>
    <w:pPr>
      <w:ind w:left="420" w:leftChars="200"/>
    </w:pPr>
  </w:style>
  <w:style w:type="paragraph" w:styleId="27">
    <w:name w:val="Body Text 2"/>
    <w:basedOn w:val="1"/>
    <w:link w:val="83"/>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paragraph" w:styleId="30">
    <w:name w:val="annotation subject"/>
    <w:basedOn w:val="12"/>
    <w:next w:val="12"/>
    <w:link w:val="73"/>
    <w:qFormat/>
    <w:uiPriority w:val="0"/>
    <w:rPr>
      <w:b/>
      <w:bCs/>
    </w:rPr>
  </w:style>
  <w:style w:type="paragraph" w:styleId="31">
    <w:name w:val="Body Text First Indent"/>
    <w:basedOn w:val="4"/>
    <w:qFormat/>
    <w:uiPriority w:val="0"/>
    <w:pPr>
      <w:spacing w:after="120" w:line="240" w:lineRule="auto"/>
      <w:ind w:firstLine="420" w:firstLineChars="100"/>
    </w:pPr>
    <w:rPr>
      <w:sz w:val="28"/>
      <w:szCs w:val="24"/>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basedOn w:val="34"/>
    <w:qFormat/>
    <w:uiPriority w:val="0"/>
  </w:style>
  <w:style w:type="character" w:styleId="37">
    <w:name w:val="Emphasis"/>
    <w:basedOn w:val="34"/>
    <w:qFormat/>
    <w:uiPriority w:val="0"/>
    <w:rPr>
      <w:i/>
      <w:iCs/>
    </w:rPr>
  </w:style>
  <w:style w:type="character" w:styleId="38">
    <w:name w:val="Hyperlink"/>
    <w:basedOn w:val="34"/>
    <w:qFormat/>
    <w:uiPriority w:val="99"/>
    <w:rPr>
      <w:color w:val="000000"/>
      <w:u w:val="single"/>
    </w:rPr>
  </w:style>
  <w:style w:type="character" w:styleId="39">
    <w:name w:val="annotation reference"/>
    <w:basedOn w:val="34"/>
    <w:qFormat/>
    <w:uiPriority w:val="0"/>
    <w:rPr>
      <w:sz w:val="21"/>
      <w:szCs w:val="21"/>
    </w:rPr>
  </w:style>
  <w:style w:type="character" w:customStyle="1" w:styleId="40">
    <w:name w:val="标题 1 Char"/>
    <w:basedOn w:val="34"/>
    <w:link w:val="6"/>
    <w:qFormat/>
    <w:uiPriority w:val="0"/>
    <w:rPr>
      <w:rFonts w:ascii="宋体" w:hAnsi="宋体" w:eastAsia="宋体"/>
      <w:b/>
      <w:sz w:val="30"/>
      <w:szCs w:val="30"/>
    </w:rPr>
  </w:style>
  <w:style w:type="character" w:customStyle="1" w:styleId="41">
    <w:name w:val="标题 2 Char"/>
    <w:basedOn w:val="34"/>
    <w:link w:val="7"/>
    <w:qFormat/>
    <w:uiPriority w:val="0"/>
    <w:rPr>
      <w:rFonts w:ascii="宋体" w:hAnsi="宋体" w:eastAsia="宋体"/>
      <w:b/>
      <w:sz w:val="28"/>
      <w:szCs w:val="30"/>
    </w:rPr>
  </w:style>
  <w:style w:type="character" w:customStyle="1" w:styleId="42">
    <w:name w:val="标题 3 Char"/>
    <w:basedOn w:val="34"/>
    <w:link w:val="8"/>
    <w:qFormat/>
    <w:uiPriority w:val="0"/>
    <w:rPr>
      <w:rFonts w:ascii="宋体" w:hAnsi="宋体" w:eastAsia="宋体"/>
      <w:sz w:val="24"/>
      <w:szCs w:val="24"/>
    </w:rPr>
  </w:style>
  <w:style w:type="character" w:customStyle="1" w:styleId="43">
    <w:name w:val="标题 4 Char"/>
    <w:basedOn w:val="34"/>
    <w:link w:val="9"/>
    <w:qFormat/>
    <w:uiPriority w:val="0"/>
    <w:rPr>
      <w:rFonts w:ascii="Arial" w:hAnsi="Arial" w:eastAsia="黑体" w:cs="Times New Roman"/>
      <w:b/>
      <w:bCs/>
      <w:sz w:val="28"/>
      <w:szCs w:val="28"/>
    </w:rPr>
  </w:style>
  <w:style w:type="character" w:customStyle="1" w:styleId="44">
    <w:name w:val="批注框文本 Char"/>
    <w:basedOn w:val="34"/>
    <w:link w:val="20"/>
    <w:qFormat/>
    <w:uiPriority w:val="0"/>
    <w:rPr>
      <w:sz w:val="18"/>
      <w:szCs w:val="18"/>
    </w:rPr>
  </w:style>
  <w:style w:type="character" w:customStyle="1" w:styleId="45">
    <w:name w:val="日期 Char"/>
    <w:basedOn w:val="34"/>
    <w:link w:val="18"/>
    <w:qFormat/>
    <w:uiPriority w:val="0"/>
  </w:style>
  <w:style w:type="character" w:customStyle="1" w:styleId="46">
    <w:name w:val="页眉 Char"/>
    <w:basedOn w:val="34"/>
    <w:link w:val="22"/>
    <w:qFormat/>
    <w:uiPriority w:val="0"/>
    <w:rPr>
      <w:sz w:val="18"/>
      <w:szCs w:val="18"/>
    </w:rPr>
  </w:style>
  <w:style w:type="character" w:customStyle="1" w:styleId="47">
    <w:name w:val="页脚 Char"/>
    <w:basedOn w:val="34"/>
    <w:link w:val="21"/>
    <w:qFormat/>
    <w:uiPriority w:val="99"/>
    <w:rPr>
      <w:sz w:val="18"/>
      <w:szCs w:val="18"/>
    </w:rPr>
  </w:style>
  <w:style w:type="character" w:customStyle="1" w:styleId="48">
    <w:name w:val="apple-converted-space"/>
    <w:basedOn w:val="34"/>
    <w:qFormat/>
    <w:uiPriority w:val="0"/>
  </w:style>
  <w:style w:type="character" w:customStyle="1" w:styleId="49">
    <w:name w:val="表内容@ Char"/>
    <w:basedOn w:val="34"/>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4"/>
    <w:link w:val="12"/>
    <w:qFormat/>
    <w:uiPriority w:val="0"/>
    <w:rPr>
      <w:szCs w:val="24"/>
    </w:rPr>
  </w:style>
  <w:style w:type="character" w:customStyle="1" w:styleId="53">
    <w:name w:val="样式 正文@ + 首行缩进:  2 字符2 Char"/>
    <w:basedOn w:val="34"/>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4"/>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4"/>
    <w:qFormat/>
    <w:uiPriority w:val="0"/>
    <w:rPr>
      <w:rFonts w:hint="default" w:ascii="ˎ̥" w:hAnsi="ˎ̥"/>
      <w:color w:val="5C5C5C"/>
      <w:sz w:val="23"/>
      <w:szCs w:val="23"/>
      <w:u w:val="none"/>
    </w:rPr>
  </w:style>
  <w:style w:type="character" w:customStyle="1" w:styleId="58">
    <w:name w:val="正文2 Char Char"/>
    <w:basedOn w:val="34"/>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4"/>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4"/>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4"/>
    <w:qFormat/>
    <w:uiPriority w:val="0"/>
  </w:style>
  <w:style w:type="character" w:customStyle="1" w:styleId="65">
    <w:name w:val="正文1 Char"/>
    <w:basedOn w:val="34"/>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4"/>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4"/>
    <w:link w:val="2"/>
    <w:qFormat/>
    <w:uiPriority w:val="0"/>
    <w:rPr>
      <w:rFonts w:eastAsia="宋体"/>
      <w:szCs w:val="24"/>
    </w:rPr>
  </w:style>
  <w:style w:type="character" w:customStyle="1" w:styleId="70">
    <w:name w:val="题注 Char"/>
    <w:basedOn w:val="34"/>
    <w:link w:val="10"/>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7"/>
    <w:qFormat/>
    <w:uiPriority w:val="0"/>
    <w:rPr>
      <w:rFonts w:ascii="宋体" w:hAnsi="Courier New" w:eastAsia="宋体"/>
    </w:rPr>
  </w:style>
  <w:style w:type="character" w:customStyle="1" w:styleId="73">
    <w:name w:val="批注主题 Char"/>
    <w:basedOn w:val="52"/>
    <w:link w:val="30"/>
    <w:qFormat/>
    <w:uiPriority w:val="0"/>
    <w:rPr>
      <w:b/>
      <w:bCs/>
      <w:szCs w:val="24"/>
    </w:rPr>
  </w:style>
  <w:style w:type="character" w:customStyle="1" w:styleId="74">
    <w:name w:val="正文文本 3 Char"/>
    <w:basedOn w:val="34"/>
    <w:link w:val="13"/>
    <w:qFormat/>
    <w:uiPriority w:val="0"/>
    <w:rPr>
      <w:rFonts w:ascii="Times New Roman" w:hAnsi="Times New Roman" w:eastAsia="宋体" w:cs="Times New Roman"/>
      <w:sz w:val="16"/>
      <w:szCs w:val="16"/>
    </w:rPr>
  </w:style>
  <w:style w:type="character" w:customStyle="1" w:styleId="75">
    <w:name w:val="文档结构图 Char"/>
    <w:basedOn w:val="34"/>
    <w:link w:val="11"/>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4"/>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4"/>
    <w:link w:val="4"/>
    <w:qFormat/>
    <w:uiPriority w:val="0"/>
    <w:rPr>
      <w:rFonts w:ascii="Times New Roman" w:hAnsi="Times New Roman" w:eastAsia="宋体" w:cs="Times New Roman"/>
      <w:sz w:val="32"/>
      <w:szCs w:val="20"/>
    </w:rPr>
  </w:style>
  <w:style w:type="character" w:customStyle="1" w:styleId="79">
    <w:name w:val="正文文本缩进 Char"/>
    <w:basedOn w:val="34"/>
    <w:link w:val="14"/>
    <w:qFormat/>
    <w:uiPriority w:val="0"/>
    <w:rPr>
      <w:rFonts w:ascii="宋体" w:hAnsi="Times New Roman" w:eastAsia="宋体" w:cs="Times New Roman"/>
      <w:sz w:val="24"/>
      <w:szCs w:val="24"/>
    </w:rPr>
  </w:style>
  <w:style w:type="character" w:customStyle="1" w:styleId="80">
    <w:name w:val="纯文本 字符1"/>
    <w:basedOn w:val="34"/>
    <w:semiHidden/>
    <w:qFormat/>
    <w:uiPriority w:val="99"/>
    <w:rPr>
      <w:rFonts w:hAnsi="Courier New" w:cs="Courier New" w:asciiTheme="minorEastAsia"/>
    </w:rPr>
  </w:style>
  <w:style w:type="character" w:customStyle="1" w:styleId="81">
    <w:name w:val="正文文本缩进 3 Char"/>
    <w:basedOn w:val="34"/>
    <w:link w:val="25"/>
    <w:qFormat/>
    <w:uiPriority w:val="0"/>
    <w:rPr>
      <w:rFonts w:ascii="宋体" w:hAnsi="Times New Roman" w:eastAsia="宋体" w:cs="Times New Roman"/>
      <w:sz w:val="28"/>
      <w:szCs w:val="20"/>
    </w:rPr>
  </w:style>
  <w:style w:type="character" w:customStyle="1" w:styleId="82">
    <w:name w:val="正文文本缩进 2 Char"/>
    <w:basedOn w:val="34"/>
    <w:link w:val="19"/>
    <w:qFormat/>
    <w:uiPriority w:val="0"/>
    <w:rPr>
      <w:rFonts w:ascii="Times New Roman" w:hAnsi="Times New Roman" w:eastAsia="宋体" w:cs="Times New Roman"/>
      <w:sz w:val="28"/>
      <w:szCs w:val="20"/>
    </w:rPr>
  </w:style>
  <w:style w:type="character" w:customStyle="1" w:styleId="83">
    <w:name w:val="正文文本 2 Char"/>
    <w:basedOn w:val="34"/>
    <w:link w:val="27"/>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4"/>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7"/>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6"/>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4"/>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 w:type="paragraph" w:customStyle="1" w:styleId="134">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135">
    <w:name w:val="表格居中"/>
    <w:qFormat/>
    <w:uiPriority w:val="0"/>
    <w:pPr>
      <w:spacing w:line="440" w:lineRule="exact"/>
      <w:jc w:val="center"/>
    </w:pPr>
    <w:rPr>
      <w:rFonts w:ascii="Arial Unicode MS" w:hAnsi="Arial Unicode MS" w:eastAsia="MingLiU" w:cs="Arial Unicode M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7"/>
    <customShpInfo spid="_x0000_s119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35</Pages>
  <Words>12555</Words>
  <Characters>16553</Characters>
  <Lines>234</Lines>
  <Paragraphs>66</Paragraphs>
  <TotalTime>1</TotalTime>
  <ScaleCrop>false</ScaleCrop>
  <LinksUpToDate>false</LinksUpToDate>
  <CharactersWithSpaces>17688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2022-10-14T03:16:06Z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2DD0601DC74D453DA8F802A73678D168</vt:lpwstr>
  </property>
</Properties>
</file>