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CZHABLZPYXGS001</w:t>
      </w:r>
      <w:r>
        <w:rPr>
          <w:rFonts w:hint="default" w:ascii="Times New Roman" w:hAnsi="Times New Roman" w:eastAsia="宋体" w:cs="Times New Roman"/>
          <w:sz w:val="24"/>
          <w:szCs w:val="24"/>
          <w:lang w:val="en-US" w:eastAsia="zh-CN"/>
        </w:rPr>
        <w:t>号</w:t>
      </w:r>
    </w:p>
    <w:p>
      <w:pPr>
        <w:pStyle w:val="7"/>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沧州环澳玻璃制品有限公司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工艺玻璃茶具新建项目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沧州环澳玻璃制品有限公司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沧州环澳玻璃制品有限公司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10</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3"/>
        <w:jc w:val="center"/>
        <w:rPr>
          <w:rFonts w:hint="default" w:ascii="Times New Roman" w:hAnsi="Times New Roman" w:cs="Times New Roman"/>
        </w:rPr>
      </w:pPr>
      <w:bookmarkStart w:id="2" w:name="_Toc504325317"/>
    </w:p>
    <w:p>
      <w:pPr>
        <w:pStyle w:val="3"/>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沧州环澳玻璃制品有限公司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河北省沧州市河间市兴村镇杨头村西</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40万元建设工艺玻璃茶具新建项目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w:t>
      </w:r>
      <w:r>
        <w:rPr>
          <w:rFonts w:hint="eastAsia" w:ascii="Times New Roman" w:hAnsi="Times New Roman" w:eastAsia="宋体" w:cs="Times New Roman"/>
          <w:color w:val="000000"/>
          <w:sz w:val="24"/>
          <w:szCs w:val="24"/>
          <w:lang w:val="en-US" w:eastAsia="zh-CN"/>
        </w:rPr>
        <w:t>6</w:t>
      </w:r>
      <w:r>
        <w:rPr>
          <w:rFonts w:hint="eastAsia" w:ascii="Times New Roman" w:hAnsi="Times New Roman" w:eastAsia="宋体" w:cs="Times New Roman"/>
          <w:color w:val="000000"/>
          <w:sz w:val="24"/>
          <w:szCs w:val="24"/>
          <w:lang w:eastAsia="zh-CN"/>
        </w:rPr>
        <w:t>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沧州环澳玻璃制品有限公司工艺玻璃茶具新建项目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23</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河环表[2022]（06-19）号。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沧州环澳玻璃制品有限公司工艺玻璃茶具新建项目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沧州环澳玻璃制品有限公司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08</w:t>
      </w:r>
      <w:r>
        <w:rPr>
          <w:rFonts w:hint="eastAsia"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2022年10月09日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沧州环澳玻璃制品有限公司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3"/>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4"/>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4"/>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《大气污染物综合排放标准》（GB16297-1996）；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（11）《工业炉窑大气污染物排放标准》（DB13/ 1640-2012）；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（12）《工业炉窑大气污染综合治理方案》（环大气[2019]56号）；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（14）《挥发性有机物无组织排放控制标准》（GB 37822-2019）；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（15）《恶臭污染物排放标准》（GB14554-1993）；</w:t>
      </w:r>
    </w:p>
    <w:p>
      <w:pPr>
        <w:pStyle w:val="7"/>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16</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7"/>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（17）</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4"/>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沧州环澳玻璃制品有限公司工艺玻璃茶具新建项目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沧州环澳玻璃制品有限公司工艺玻璃茶具新建项目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河环表[2022]（06-19）号，2022年06月23日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工艺玻璃茶具新建项目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沧州环澳玻璃制品有限公司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候亚宁</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候亚宁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河北省沧州市河间市兴村镇杨头村西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13931730525</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C3054 日用玻璃制品制造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河北省沧州市河间市兴村镇杨头村西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12.5</w:t>
            </w:r>
          </w:p>
        </w:tc>
      </w:tr>
    </w:tbl>
    <w:p>
      <w:pPr>
        <w:pStyle w:val="5"/>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6979001"/>
      <w:bookmarkStart w:id="14" w:name="_Toc504325325"/>
      <w:bookmarkStart w:id="15" w:name="_Toc497001437"/>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河北省沧州市河间市兴村镇杨头村西</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26.24</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27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31.59</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7001438"/>
      <w:bookmarkStart w:id="17" w:name="_Toc496979002"/>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年产工艺玻璃茶具100万个</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079"/>
        <w:gridCol w:w="1529"/>
        <w:gridCol w:w="2601"/>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原料名称</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单位</w:t>
            </w:r>
          </w:p>
        </w:tc>
        <w:tc>
          <w:tcPr>
            <w:tcW w:w="2601"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新建项目</w:t>
            </w:r>
          </w:p>
          <w:p>
            <w:pPr>
              <w:adjustRightInd w:val="0"/>
              <w:snapToGrid w:val="0"/>
              <w:spacing w:line="280" w:lineRule="exact"/>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color w:val="auto"/>
                <w:kern w:val="2"/>
                <w:sz w:val="21"/>
                <w:szCs w:val="21"/>
                <w:highlight w:val="none"/>
                <w:lang w:val="en-US" w:eastAsia="zh-CN" w:bidi="ar-SA"/>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高硼硅玻璃管</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t/a</w:t>
            </w:r>
          </w:p>
        </w:tc>
        <w:tc>
          <w:tcPr>
            <w:tcW w:w="2601"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氧气</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t/a</w:t>
            </w:r>
          </w:p>
        </w:tc>
        <w:tc>
          <w:tcPr>
            <w:tcW w:w="2601"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新鲜水</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m³/a</w:t>
            </w:r>
          </w:p>
        </w:tc>
        <w:tc>
          <w:tcPr>
            <w:tcW w:w="26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电</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万kWh/a</w:t>
            </w:r>
          </w:p>
        </w:tc>
        <w:tc>
          <w:tcPr>
            <w:tcW w:w="26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07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天然气</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万m³/a</w:t>
            </w:r>
          </w:p>
        </w:tc>
        <w:tc>
          <w:tcPr>
            <w:tcW w:w="26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c>
          <w:tcPr>
            <w:tcW w:w="1529" w:type="dxa"/>
            <w:vAlign w:val="center"/>
          </w:tcPr>
          <w:p>
            <w:pPr>
              <w:adjustRightInd w:val="0"/>
              <w:snapToGrid w:val="0"/>
              <w:spacing w:line="28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r>
    </w:tbl>
    <w:p>
      <w:pPr>
        <w:pStyle w:val="5"/>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新建项目环保设施措施内容</w:t>
      </w:r>
      <w:r>
        <w:rPr>
          <w:rFonts w:hint="default" w:ascii="Times New Roman" w:hAnsi="Times New Roman" w:eastAsia="宋体" w:cs="Times New Roman"/>
          <w:sz w:val="24"/>
          <w:szCs w:val="24"/>
        </w:rPr>
        <w:t>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新建项目环保设施措施内容</w:t>
      </w:r>
      <w:r>
        <w:rPr>
          <w:rFonts w:hint="default" w:ascii="Times New Roman" w:hAnsi="Times New Roman" w:eastAsia="宋体" w:cs="Times New Roman"/>
          <w:b/>
          <w:bCs/>
          <w:sz w:val="24"/>
          <w:szCs w:val="24"/>
        </w:rPr>
        <w:t>一览表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环保设施措施内容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废气</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退火炉燃烧烟气由1根15m高排气筒排放</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废水</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项目磨口工序用水循环使用，不外排；清洗工序废水产生量少，水质简单，暂存于储水池，用于厂区泼洒抑尘，不外排；职工盥洗废水用于厂内泼洒抑尘，厂内设防渗旱厕，定期清掏，不外排</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噪声</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基础减振、厂房隔声等措施</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固废</w:t>
            </w:r>
          </w:p>
        </w:tc>
        <w:tc>
          <w:tcPr>
            <w:tcW w:w="4947" w:type="dxa"/>
            <w:noWrap w:val="0"/>
            <w:tcMar>
              <w:top w:w="0" w:type="dxa"/>
              <w:left w:w="51" w:type="dxa"/>
              <w:bottom w:w="0" w:type="dxa"/>
              <w:right w:w="51" w:type="dxa"/>
            </w:tcMar>
            <w:vAlign w:val="center"/>
          </w:tcPr>
          <w:p>
            <w:pPr>
              <w:pStyle w:val="134"/>
              <w:spacing w:line="240" w:lineRule="auto"/>
              <w:jc w:val="left"/>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一般固体废物：玻璃下脚料、不合格品统一收集后外售；</w:t>
            </w:r>
          </w:p>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生活垃圾：统一收集后交环卫部门清运处理。</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风险</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严格安全管理制度；加强作业人员的安全培训；设安全警示标志，配备必要的应急物资；编制突发环境事件应急预案</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w:t>
            </w:r>
          </w:p>
        </w:tc>
        <w:tc>
          <w:tcPr>
            <w:tcW w:w="1298" w:type="dxa"/>
            <w:noWrap w:val="0"/>
            <w:tcMar>
              <w:top w:w="0" w:type="dxa"/>
              <w:left w:w="51" w:type="dxa"/>
              <w:bottom w:w="0" w:type="dxa"/>
              <w:right w:w="51" w:type="dxa"/>
            </w:tcMar>
            <w:vAlign w:val="center"/>
          </w:tcPr>
          <w:p>
            <w:pPr>
              <w:pStyle w:val="134"/>
              <w:spacing w:line="240" w:lineRule="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环境管理</w:t>
            </w:r>
          </w:p>
        </w:tc>
        <w:tc>
          <w:tcPr>
            <w:tcW w:w="4947" w:type="dxa"/>
            <w:noWrap w:val="0"/>
            <w:tcMar>
              <w:top w:w="0" w:type="dxa"/>
              <w:left w:w="51" w:type="dxa"/>
              <w:bottom w:w="0" w:type="dxa"/>
              <w:right w:w="51" w:type="dxa"/>
            </w:tcMar>
            <w:vAlign w:val="center"/>
          </w:tcPr>
          <w:p>
            <w:pPr>
              <w:pStyle w:val="134"/>
              <w:spacing w:line="240" w:lineRule="auto"/>
              <w:jc w:val="left"/>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按规定办理排污许可事项；编制突发环境事件应急预案；建立环境管理台账制度</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950"/>
        <w:gridCol w:w="1980"/>
        <w:gridCol w:w="1827"/>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195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198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827"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2033"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退火炉</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THKHL</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洗杯机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非标</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粘把机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ZBJ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4</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灯头</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100</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磨口机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MKJ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封底机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FDJ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50</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吹胎机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CTJ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燎口机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LKJ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截管机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JGJ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压口机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YKJ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空压机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5.5kw</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输送带</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拉丝机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LSJ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195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爆口机</w:t>
            </w:r>
          </w:p>
        </w:tc>
        <w:tc>
          <w:tcPr>
            <w:tcW w:w="198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BKJ</w:t>
            </w:r>
          </w:p>
        </w:tc>
        <w:tc>
          <w:tcPr>
            <w:tcW w:w="182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203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r>
    </w:tbl>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eastAsia="黑体"/>
          <w:color w:val="FF0000"/>
          <w:szCs w:val="21"/>
        </w:rPr>
        <w:drawing>
          <wp:anchor distT="0" distB="0" distL="114300" distR="114300" simplePos="0" relativeHeight="251662336" behindDoc="0" locked="0" layoutInCell="1" allowOverlap="1">
            <wp:simplePos x="0" y="0"/>
            <wp:positionH relativeFrom="column">
              <wp:posOffset>22860</wp:posOffset>
            </wp:positionH>
            <wp:positionV relativeFrom="paragraph">
              <wp:posOffset>325120</wp:posOffset>
            </wp:positionV>
            <wp:extent cx="5124450" cy="1710055"/>
            <wp:effectExtent l="0" t="0" r="11430" b="12065"/>
            <wp:wrapTopAndBottom/>
            <wp:docPr id="2" name="图片 1" descr="1659518643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59518643740(1)"/>
                    <pic:cNvPicPr>
                      <a:picLocks noChangeAspect="1"/>
                    </pic:cNvPicPr>
                  </pic:nvPicPr>
                  <pic:blipFill>
                    <a:blip r:embed="rId8"/>
                    <a:stretch>
                      <a:fillRect/>
                    </a:stretch>
                  </pic:blipFill>
                  <pic:spPr>
                    <a:xfrm>
                      <a:off x="0" y="0"/>
                      <a:ext cx="5124450" cy="1710055"/>
                    </a:xfrm>
                    <a:prstGeom prst="rect">
                      <a:avLst/>
                    </a:prstGeom>
                    <a:noFill/>
                    <a:ln>
                      <a:noFill/>
                    </a:ln>
                  </pic:spPr>
                </pic:pic>
              </a:graphicData>
            </a:graphic>
          </wp:anchor>
        </w:drawing>
      </w:r>
      <w:r>
        <w:rPr>
          <w:rFonts w:hint="default" w:ascii="Times New Roman" w:hAnsi="Times New Roman" w:eastAsia="宋体" w:cs="Times New Roman"/>
          <w:sz w:val="24"/>
          <w:szCs w:val="24"/>
        </w:rPr>
        <w:t>（1）生产工艺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①加热截管：本项目原料为高硼硅玻璃管，利用天然气灯头对玻璃管进行加热软化，再利用截管机将玻璃管截断成所需长度；</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②封底：对工件利用天然气灯头进行加热，利用封底机进行封底；</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③整形（压口）：利用灯头对壶嘴加热软化，压制整形成所需形状规格；</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④吹制：利用灯头对胎身加热软化，同时由人工进行吹制成型；</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⑤切口、磨口：利用截管机对吹制成型的玻璃工件进行切口处理，利用磨口机对开口进行打磨，该工序在水冲状态下进行。</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⑥燎口：利用灯头对工件进行加热软化，使用燎口机对工件进行加工，去除顶部多余部分；</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⑦退火：利用退火炉进行退火工序，采用天然气加热，温度560-590℃，恒温持续时间10-20min，消除玻璃工件内的永久应力。</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⑧切口、燎口：退火后工件进行切口处理，使用燎口机对工件进行燎口处理；</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⑨检验、包装入库：最后对工件进行清洗，去除成品表面灰尘等，清洗工序采用洗杯机。清洗后产品晾干，检验合格后包装入库。</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每天一班，每班8小时</w:t>
      </w:r>
      <w:r>
        <w:rPr>
          <w:rFonts w:hint="default" w:ascii="Times New Roman" w:hAnsi="Times New Roman" w:eastAsia="宋体" w:cs="Times New Roman"/>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496979011"/>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排水：项目职工盥洗废水用于厂内泼洒抑尘，厂内设防渗旱厕，定期清掏，不外排；清洗工序废水产生水量小，水质简单，暂存于储水池，用于厂区泼洒抑尘；磨口工序用水循环使用不外排</w:t>
      </w:r>
      <w:r>
        <w:rPr>
          <w:rFonts w:hint="eastAsia" w:ascii="Times New Roman" w:hAnsi="Times New Roman" w:eastAsia="宋体" w:cs="Times New Roman"/>
          <w:sz w:val="24"/>
          <w:szCs w:val="24"/>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6979012"/>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由当地供电电网供给</w:t>
      </w:r>
      <w:r>
        <w:rPr>
          <w:rFonts w:hint="default" w:ascii="Times New Roman" w:hAnsi="Times New Roman" w:eastAsia="宋体" w:cs="Times New Roman"/>
          <w:szCs w:val="21"/>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2022年06月23日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河环表[2022]（06-19）号</w:t>
      </w:r>
      <w:r>
        <w:rPr>
          <w:rFonts w:hint="default" w:ascii="Times New Roman" w:hAnsi="Times New Roman" w:eastAsia="宋体" w:cs="Times New Roman"/>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40万元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12.5</w:t>
      </w:r>
      <w:r>
        <w:rPr>
          <w:rFonts w:hint="default" w:ascii="Times New Roman" w:hAnsi="Times New Roman" w:eastAsia="宋体" w:cs="Times New Roman"/>
          <w:color w:val="auto"/>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548"/>
        <w:gridCol w:w="1308"/>
        <w:gridCol w:w="1824"/>
        <w:gridCol w:w="2544"/>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righ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5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48"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退火工序废气排放口DA001</w:t>
            </w:r>
          </w:p>
        </w:tc>
        <w:tc>
          <w:tcPr>
            <w:tcW w:w="1308" w:type="dxa"/>
            <w:noWrap w:val="0"/>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颗粒物</w:t>
            </w:r>
          </w:p>
        </w:tc>
        <w:tc>
          <w:tcPr>
            <w:tcW w:w="1824"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天然气为燃料，由15m高排气筒排放</w:t>
            </w:r>
          </w:p>
        </w:tc>
        <w:tc>
          <w:tcPr>
            <w:tcW w:w="2544"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河北省《工业炉窑大气污染物排放标准》(DB13/1640-2012)表1和表2新建炉窑标准及《关于印发&lt;工业炉窑大气污染综合治理方案&gt;的通知》(环大气[2019]56号)文件要求</w:t>
            </w:r>
          </w:p>
        </w:tc>
        <w:tc>
          <w:tcPr>
            <w:tcW w:w="10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308" w:type="dxa"/>
            <w:noWrap w:val="0"/>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二氧化硫</w:t>
            </w:r>
          </w:p>
        </w:tc>
        <w:tc>
          <w:tcPr>
            <w:tcW w:w="182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254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0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308" w:type="dxa"/>
            <w:noWrap w:val="0"/>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氮氧化物</w:t>
            </w:r>
          </w:p>
        </w:tc>
        <w:tc>
          <w:tcPr>
            <w:tcW w:w="182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254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0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308" w:type="dxa"/>
            <w:noWrap w:val="0"/>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烟气黑度</w:t>
            </w:r>
          </w:p>
        </w:tc>
        <w:tc>
          <w:tcPr>
            <w:tcW w:w="182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254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0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无组织废气</w:t>
            </w:r>
          </w:p>
        </w:tc>
        <w:tc>
          <w:tcPr>
            <w:tcW w:w="1308" w:type="dxa"/>
            <w:noWrap w:val="0"/>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颗粒物</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w:t>
            </w:r>
          </w:p>
        </w:tc>
        <w:tc>
          <w:tcPr>
            <w:tcW w:w="2544" w:type="dxa"/>
            <w:vMerge w:val="restart"/>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《大气污染物综合排放标准》（GB16297-1996）表2无组织排放监控浓度限值要求</w:t>
            </w:r>
          </w:p>
        </w:tc>
        <w:tc>
          <w:tcPr>
            <w:tcW w:w="10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p>
        </w:tc>
        <w:tc>
          <w:tcPr>
            <w:tcW w:w="1308" w:type="dxa"/>
            <w:noWrap w:val="0"/>
            <w:vAlign w:val="center"/>
          </w:tcPr>
          <w:p>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二氧化硫</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w:t>
            </w:r>
          </w:p>
        </w:tc>
        <w:tc>
          <w:tcPr>
            <w:tcW w:w="254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0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rPr>
            </w:pPr>
          </w:p>
        </w:tc>
        <w:tc>
          <w:tcPr>
            <w:tcW w:w="1548"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p>
        </w:tc>
        <w:tc>
          <w:tcPr>
            <w:tcW w:w="1308" w:type="dxa"/>
            <w:noWrap w:val="0"/>
            <w:vAlign w:val="center"/>
          </w:tcPr>
          <w:p>
            <w:pPr>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Cs w:val="21"/>
              </w:rPr>
              <w:t>氮氧化物</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Cs w:val="21"/>
              </w:rPr>
              <w:t>/</w:t>
            </w:r>
          </w:p>
        </w:tc>
        <w:tc>
          <w:tcPr>
            <w:tcW w:w="2544" w:type="dxa"/>
            <w:vMerge w:val="continue"/>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p>
        </w:tc>
        <w:tc>
          <w:tcPr>
            <w:tcW w:w="10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48" w:type="dxa"/>
            <w:noWrap w:val="0"/>
            <w:vAlign w:val="center"/>
          </w:tcPr>
          <w:p>
            <w:pPr>
              <w:adjustRightInd w:val="0"/>
              <w:snapToGrid w:val="0"/>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清洗工序</w:t>
            </w:r>
          </w:p>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废水</w:t>
            </w:r>
          </w:p>
        </w:tc>
        <w:tc>
          <w:tcPr>
            <w:tcW w:w="1308"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SS</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暂存于储水池，用于厂区泼洒抑尘</w:t>
            </w:r>
          </w:p>
        </w:tc>
        <w:tc>
          <w:tcPr>
            <w:tcW w:w="254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不外排</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磨口工序</w:t>
            </w:r>
          </w:p>
        </w:tc>
        <w:tc>
          <w:tcPr>
            <w:tcW w:w="1308"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SS</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Cs w:val="21"/>
              </w:rPr>
              <w:t>循环使用</w:t>
            </w:r>
          </w:p>
        </w:tc>
        <w:tc>
          <w:tcPr>
            <w:tcW w:w="254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不外排</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548"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Cs w:val="21"/>
              </w:rPr>
              <w:t>盥洗废水</w:t>
            </w:r>
          </w:p>
        </w:tc>
        <w:tc>
          <w:tcPr>
            <w:tcW w:w="1308" w:type="dxa"/>
            <w:noWrap w:val="0"/>
            <w:vAlign w:val="center"/>
          </w:tcPr>
          <w:p>
            <w:pPr>
              <w:adjustRightInd w:val="0"/>
              <w:snapToGrid w:val="0"/>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COD</w:t>
            </w:r>
          </w:p>
          <w:p>
            <w:pPr>
              <w:adjustRightInd w:val="0"/>
              <w:snapToGrid w:val="0"/>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p>
            <w:pPr>
              <w:adjustRightInd w:val="0"/>
              <w:snapToGrid w:val="0"/>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SS</w:t>
            </w:r>
          </w:p>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氨氮</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Cs w:val="21"/>
              </w:rPr>
              <w:t>用于厂区泼洒抑尘，厂区设防渗旱厕，定期清掏</w:t>
            </w:r>
          </w:p>
        </w:tc>
        <w:tc>
          <w:tcPr>
            <w:tcW w:w="254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不外排</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48"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Cs w:val="21"/>
              </w:rPr>
              <w:t>设备噪声</w:t>
            </w:r>
          </w:p>
        </w:tc>
        <w:tc>
          <w:tcPr>
            <w:tcW w:w="1308" w:type="dxa"/>
            <w:noWrap w:val="0"/>
            <w:vAlign w:val="center"/>
          </w:tcPr>
          <w:p>
            <w:pPr>
              <w:adjustRightInd w:val="0"/>
              <w:snapToGrid w:val="0"/>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等效连续</w:t>
            </w:r>
          </w:p>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A声级</w:t>
            </w:r>
          </w:p>
        </w:tc>
        <w:tc>
          <w:tcPr>
            <w:tcW w:w="1824" w:type="dxa"/>
            <w:noWrap w:val="0"/>
            <w:vAlign w:val="center"/>
          </w:tcPr>
          <w:p>
            <w:pPr>
              <w:adjustRightInd w:val="0"/>
              <w:snapToGrid w:val="0"/>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基础减振</w:t>
            </w:r>
          </w:p>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厂房隔声</w:t>
            </w:r>
          </w:p>
        </w:tc>
        <w:tc>
          <w:tcPr>
            <w:tcW w:w="2544"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《工业企业厂界环境噪声排放标准》(GB12348-2008)中2类区</w:t>
            </w:r>
            <w:r>
              <w:rPr>
                <w:rFonts w:hint="default" w:ascii="Times New Roman" w:hAnsi="Times New Roman" w:eastAsia="宋体" w:cs="Times New Roman"/>
                <w:szCs w:val="21"/>
                <w:lang w:eastAsia="zh-CN"/>
              </w:rPr>
              <w:t>及</w:t>
            </w:r>
            <w:r>
              <w:rPr>
                <w:rFonts w:hint="default" w:ascii="Times New Roman" w:hAnsi="Times New Roman" w:eastAsia="宋体" w:cs="Times New Roman"/>
                <w:szCs w:val="21"/>
              </w:rPr>
              <w:t>1类区标准排放限值</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固体废物</w:t>
            </w:r>
          </w:p>
        </w:tc>
        <w:tc>
          <w:tcPr>
            <w:tcW w:w="7224" w:type="dxa"/>
            <w:gridSpan w:val="4"/>
            <w:noWrap w:val="0"/>
            <w:vAlign w:val="center"/>
          </w:tcPr>
          <w:p>
            <w:pPr>
              <w:adjustRightInd w:val="0"/>
              <w:snapToGrid w:val="0"/>
              <w:spacing w:line="360" w:lineRule="auto"/>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一般固体废物：玻璃下脚料、不合格品统一收集后外售；</w:t>
            </w:r>
          </w:p>
          <w:p>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生活垃圾：统一收集后交环卫部门清运处理。</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6" w:type="dxa"/>
            <w:noWrap w:val="0"/>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土壤及地下水污染防治措施</w:t>
            </w:r>
          </w:p>
        </w:tc>
        <w:tc>
          <w:tcPr>
            <w:tcW w:w="7224" w:type="dxa"/>
            <w:gridSpan w:val="4"/>
            <w:noWrap w:val="0"/>
            <w:vAlign w:val="center"/>
          </w:tcPr>
          <w:p>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szCs w:val="21"/>
              </w:rPr>
              <w:t>一般防渗区，包括办公区、生产车间、库房，地面采取硬化处理，加强防渗措施日常维护，达到渗透系数≤10</w:t>
            </w:r>
            <w:r>
              <w:rPr>
                <w:rFonts w:hint="default" w:ascii="Times New Roman" w:hAnsi="Times New Roman" w:eastAsia="宋体" w:cs="Times New Roman"/>
                <w:szCs w:val="21"/>
                <w:vertAlign w:val="superscript"/>
              </w:rPr>
              <w:t>-7</w:t>
            </w:r>
            <w:r>
              <w:rPr>
                <w:rFonts w:hint="default" w:ascii="Times New Roman" w:hAnsi="Times New Roman" w:eastAsia="宋体" w:cs="Times New Roman"/>
                <w:szCs w:val="21"/>
              </w:rPr>
              <w:t>cm/s的要求。</w:t>
            </w:r>
          </w:p>
        </w:tc>
        <w:tc>
          <w:tcPr>
            <w:tcW w:w="10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已做硬化及防渗处理</w:t>
            </w:r>
          </w:p>
        </w:tc>
      </w:tr>
    </w:tbl>
    <w:p>
      <w:pPr>
        <w:rPr>
          <w:rFonts w:hint="eastAsia"/>
          <w:lang w:val="en-US" w:eastAsia="zh-CN"/>
        </w:rPr>
      </w:pPr>
      <w:r>
        <w:rPr>
          <w:rFonts w:hint="eastAsia"/>
          <w:lang w:val="en-US" w:eastAsia="zh-CN"/>
        </w:rPr>
        <w:br w:type="page"/>
      </w:r>
    </w:p>
    <w:p>
      <w:pPr>
        <w:pStyle w:val="4"/>
        <w:rPr>
          <w:rFonts w:hint="default" w:ascii="Times New Roman" w:hAnsi="Times New Roman" w:cs="Times New Roman"/>
        </w:rPr>
      </w:pPr>
      <w:bookmarkStart w:id="38" w:name="_Toc504325342"/>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河北省沧州市河间市兴村镇杨头村西</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项目磨口工序用水循环使用，不外排；清洗工序废水产生量少，水质简单，暂存于储水池，用于厂区泼洒抑尘，不外排；职工盥洗废水用于厂内泼洒抑尘，厂内设防渗旱厕，定期清掏，不外排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②废气──退火炉燃烧烟气由1根15m高排气筒排放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4"/>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4"/>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5"/>
        <w:spacing w:line="440" w:lineRule="atLeast"/>
        <w:rPr>
          <w:rFonts w:hint="default" w:ascii="Times New Roman" w:hAnsi="Times New Roman" w:cs="Times New Roman"/>
        </w:rPr>
      </w:pPr>
      <w:bookmarkStart w:id="42" w:name="_Toc504325346"/>
      <w:bookmarkStart w:id="43" w:name="_Toc497001461"/>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项目磨口工序用水循环使用，不外排；清洗工序废水产生量少，水质简单，暂存于储水池，用于厂区泼洒抑尘，不外排；职工盥洗废水用于厂内泼洒抑尘，厂内设防渗旱厕，定期清掏，不外排</w:t>
      </w:r>
      <w:r>
        <w:rPr>
          <w:rFonts w:hint="default" w:ascii="Times New Roman" w:hAnsi="Times New Roman" w:eastAsia="宋体" w:cs="Times New Roman"/>
          <w:sz w:val="24"/>
          <w:szCs w:val="24"/>
        </w:rPr>
        <w:t>。</w:t>
      </w:r>
    </w:p>
    <w:p>
      <w:pPr>
        <w:pStyle w:val="5"/>
        <w:rPr>
          <w:rFonts w:hint="default" w:ascii="Times New Roman" w:hAnsi="Times New Roman" w:cs="Times New Roman"/>
        </w:rPr>
      </w:pPr>
      <w:bookmarkStart w:id="45" w:name="_Toc496979025"/>
      <w:bookmarkStart w:id="46" w:name="_Toc504325347"/>
      <w:bookmarkStart w:id="47" w:name="_Toc497001462"/>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项目退火炉燃烧烟气由1根15m高排气筒排放</w:t>
      </w:r>
      <w:r>
        <w:rPr>
          <w:rFonts w:hint="default"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8" w:name="_Toc496979026"/>
      <w:bookmarkStart w:id="49" w:name="_Toc504325348"/>
      <w:bookmarkStart w:id="50" w:name="_Toc497001463"/>
      <w:r>
        <w:rPr>
          <w:rFonts w:hint="default" w:ascii="Times New Roman" w:hAnsi="Times New Roman" w:cs="Times New Roman"/>
        </w:rPr>
        <w:t>3.2.3噪声</w:t>
      </w:r>
      <w:bookmarkEnd w:id="48"/>
      <w:bookmarkEnd w:id="49"/>
      <w:bookmarkEnd w:id="50"/>
    </w:p>
    <w:p>
      <w:pPr>
        <w:pStyle w:val="5"/>
        <w:spacing w:line="440" w:lineRule="atLeast"/>
        <w:ind w:firstLine="480" w:firstLineChars="200"/>
        <w:rPr>
          <w:rFonts w:hint="default" w:ascii="Times New Roman" w:hAnsi="Times New Roman" w:eastAsia="宋体" w:cs="Times New Roman"/>
        </w:rPr>
      </w:pPr>
      <w:bookmarkStart w:id="51" w:name="_Toc496979027"/>
      <w:r>
        <w:rPr>
          <w:rFonts w:hint="eastAsia" w:ascii="Times New Roman" w:hAnsi="Times New Roman" w:eastAsia="宋体" w:cs="Times New Roman"/>
          <w:lang w:val="en-US" w:eastAsia="zh-CN"/>
        </w:rPr>
        <w:t>项目主要噪声源为生产设备、风机、水泵等设备运行噪声，本项目选取低噪声设备，并采取基础减振，厂房隔声等降噪措施后，排入周边环境</w:t>
      </w:r>
      <w:r>
        <w:rPr>
          <w:rFonts w:hint="default" w:ascii="Times New Roman" w:hAnsi="Times New Roman" w:eastAsia="宋体" w:cs="Times New Roman"/>
        </w:rPr>
        <w:t>。</w:t>
      </w:r>
    </w:p>
    <w:p>
      <w:pPr>
        <w:pStyle w:val="5"/>
        <w:rPr>
          <w:rFonts w:hint="default" w:ascii="Times New Roman" w:hAnsi="Times New Roman" w:cs="Times New Roman"/>
        </w:rPr>
      </w:pPr>
      <w:bookmarkStart w:id="52" w:name="_Toc504325349"/>
      <w:bookmarkStart w:id="53" w:name="_Toc497001464"/>
      <w:r>
        <w:rPr>
          <w:rFonts w:hint="default" w:ascii="Times New Roman" w:hAnsi="Times New Roman" w:cs="Times New Roman"/>
        </w:rPr>
        <w:t>3.2.4固体废物</w:t>
      </w:r>
      <w:bookmarkEnd w:id="51"/>
      <w:bookmarkEnd w:id="52"/>
      <w:bookmarkEnd w:id="53"/>
    </w:p>
    <w:p>
      <w:pPr>
        <w:pStyle w:val="86"/>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项目运营期产生固体废物包括生产过程产生的玻璃下脚料，检验工序产生的不合格品，生活垃圾。生产过程产生的玻璃下脚料、检验工序产生不合格品，分别收集后外售；生活垃圾集中收集后交环卫部门清运处理</w:t>
      </w:r>
      <w:r>
        <w:rPr>
          <w:rFonts w:hint="eastAsia" w:ascii="Times New Roman" w:hAnsi="Times New Roman" w:cs="Times New Roman"/>
          <w:spacing w:val="0"/>
          <w:kern w:val="2"/>
          <w:sz w:val="24"/>
          <w:szCs w:val="24"/>
          <w:lang w:val="en-US" w:eastAsia="zh-CN" w:bidi="ar-SA"/>
        </w:rPr>
        <w:t>。</w:t>
      </w:r>
    </w:p>
    <w:bookmarkEnd w:id="54"/>
    <w:p>
      <w:pPr>
        <w:pStyle w:val="7"/>
        <w:rPr>
          <w:rFonts w:hint="eastAsia" w:ascii="Times New Roman" w:hAnsi="Times New Roman" w:eastAsia="宋体" w:cs="Times New Roman"/>
          <w:sz w:val="24"/>
          <w:szCs w:val="24"/>
          <w:lang w:eastAsia="zh-CN"/>
        </w:rPr>
      </w:pPr>
      <w:bookmarkStart w:id="55" w:name="_Toc504325351"/>
    </w:p>
    <w:p>
      <w:pPr>
        <w:pStyle w:val="7"/>
        <w:rPr>
          <w:rFonts w:hint="default" w:ascii="Times New Roman" w:hAnsi="Times New Roman" w:cs="Times New Roman"/>
        </w:rPr>
      </w:pPr>
    </w:p>
    <w:p>
      <w:pPr>
        <w:pStyle w:val="7"/>
        <w:rPr>
          <w:rFonts w:hint="default" w:ascii="Times New Roman" w:hAnsi="Times New Roman" w:cs="Times New Roman"/>
        </w:rPr>
      </w:pPr>
    </w:p>
    <w:p>
      <w:pPr>
        <w:pStyle w:val="7"/>
        <w:jc w:val="center"/>
        <w:rPr>
          <w:rFonts w:hint="default" w:ascii="Times New Roman" w:hAnsi="Times New Roman" w:cs="Times New Roman"/>
        </w:rPr>
      </w:pPr>
    </w:p>
    <w:p>
      <w:pPr>
        <w:pStyle w:val="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7001467"/>
      <w:bookmarkStart w:id="58" w:name="_Toc496979030"/>
      <w:bookmarkStart w:id="59" w:name="_Toc504325353"/>
      <w:r>
        <w:rPr>
          <w:rFonts w:hint="default" w:ascii="Times New Roman" w:hAnsi="Times New Roman" w:cs="Times New Roman"/>
        </w:rPr>
        <w:t>4.1.1主要结论</w:t>
      </w:r>
      <w:bookmarkEnd w:id="57"/>
      <w:bookmarkEnd w:id="58"/>
      <w:bookmarkEnd w:id="59"/>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7001468"/>
      <w:bookmarkStart w:id="61" w:name="_Toc504325354"/>
      <w:bookmarkStart w:id="62" w:name="_Toc496979031"/>
      <w:r>
        <w:rPr>
          <w:rFonts w:hint="default" w:ascii="Times New Roman" w:hAnsi="Times New Roman" w:eastAsia="宋体" w:cs="Times New Roman"/>
          <w:sz w:val="24"/>
          <w:szCs w:val="24"/>
          <w:lang w:val="en-US" w:eastAsia="zh-CN"/>
        </w:rPr>
        <w:t>本项目选址和建设符合国家和地方环境保护政策；项目采取污染防治措施可实现污染物达标排放，对环境影响不明显。综上所述，在落实环保措施和环境管理制度，稳定运行施行各项环保设施措施的前提下，从环境保护角度分析，项目建设可行</w:t>
      </w:r>
      <w:r>
        <w:rPr>
          <w:rFonts w:hint="eastAsia" w:ascii="Times New Roman" w:hAnsi="Times New Roman" w:cs="Times New Roman"/>
          <w:sz w:val="24"/>
          <w:szCs w:val="24"/>
          <w:lang w:val="en-US" w:eastAsia="zh-CN"/>
        </w:rPr>
        <w:t>。</w:t>
      </w:r>
    </w:p>
    <w:bookmarkEnd w:id="60"/>
    <w:bookmarkEnd w:id="61"/>
    <w:bookmarkEnd w:id="62"/>
    <w:p>
      <w:pPr>
        <w:pStyle w:val="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2022年06月23日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河环表[2022]（06-19）号。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沧州环澳玻璃制品有限公司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河北省沧州市河间市兴村镇杨头村西</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2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退火工序废气河北省</w:t>
            </w:r>
            <w:r>
              <w:rPr>
                <w:rFonts w:hint="default" w:ascii="Times New Roman" w:hAnsi="Times New Roman" w:eastAsia="宋体" w:cs="Times New Roman"/>
                <w:color w:val="000000" w:themeColor="text1"/>
                <w:szCs w:val="21"/>
                <w:lang w:eastAsia="zh-CN"/>
                <w14:textFill>
                  <w14:solidFill>
                    <w14:schemeClr w14:val="tx1"/>
                  </w14:solidFill>
                </w14:textFill>
              </w:rPr>
              <w:t>《工业炉窑大气污染物排放标准》（DB13/1640-2012）</w:t>
            </w:r>
            <w:r>
              <w:rPr>
                <w:rFonts w:hint="eastAsia" w:ascii="Times New Roman" w:hAnsi="Times New Roman" w:eastAsia="宋体" w:cs="Times New Roman"/>
                <w:color w:val="000000" w:themeColor="text1"/>
                <w:szCs w:val="21"/>
                <w:lang w:eastAsia="zh-CN"/>
                <w14:textFill>
                  <w14:solidFill>
                    <w14:schemeClr w14:val="tx1"/>
                  </w14:solidFill>
                </w14:textFill>
              </w:rPr>
              <w:t>表</w:t>
            </w:r>
            <w:r>
              <w:rPr>
                <w:rFonts w:hint="eastAsia" w:ascii="Times New Roman" w:hAnsi="Times New Roman" w:eastAsia="宋体" w:cs="Times New Roman"/>
                <w:color w:val="000000" w:themeColor="text1"/>
                <w:szCs w:val="21"/>
                <w:lang w:val="en-US" w:eastAsia="zh-CN"/>
                <w14:textFill>
                  <w14:solidFill>
                    <w14:schemeClr w14:val="tx1"/>
                  </w14:solidFill>
                </w14:textFill>
              </w:rPr>
              <w:t>1和表2新建炉窑标准</w:t>
            </w:r>
            <w:r>
              <w:rPr>
                <w:rFonts w:hint="default" w:ascii="Times New Roman" w:hAnsi="Times New Roman" w:eastAsia="宋体" w:cs="Times New Roman"/>
                <w:color w:val="000000" w:themeColor="text1"/>
                <w:szCs w:val="21"/>
                <w:lang w:eastAsia="zh-CN"/>
                <w14:textFill>
                  <w14:solidFill>
                    <w14:schemeClr w14:val="tx1"/>
                  </w14:solidFill>
                </w14:textFill>
              </w:rPr>
              <w:t>及《</w:t>
            </w:r>
            <w:r>
              <w:rPr>
                <w:rFonts w:hint="eastAsia" w:ascii="Times New Roman" w:hAnsi="Times New Roman" w:eastAsia="宋体" w:cs="Times New Roman"/>
                <w:color w:val="000000" w:themeColor="text1"/>
                <w:szCs w:val="21"/>
                <w:lang w:eastAsia="zh-CN"/>
                <w14:textFill>
                  <w14:solidFill>
                    <w14:schemeClr w14:val="tx1"/>
                  </w14:solidFill>
                </w14:textFill>
              </w:rPr>
              <w:t>关于印发</w:t>
            </w:r>
            <w:r>
              <w:rPr>
                <w:rFonts w:hint="eastAsia" w:ascii="Times New Roman" w:hAnsi="Times New Roman" w:eastAsia="宋体" w:cs="Times New Roman"/>
                <w:color w:val="000000" w:themeColor="text1"/>
                <w:szCs w:val="21"/>
                <w:lang w:val="en-US" w:eastAsia="zh-CN"/>
                <w14:textFill>
                  <w14:solidFill>
                    <w14:schemeClr w14:val="tx1"/>
                  </w14:solidFill>
                </w14:textFill>
              </w:rPr>
              <w:t>&lt;</w:t>
            </w:r>
            <w:r>
              <w:rPr>
                <w:rFonts w:hint="default" w:ascii="Times New Roman" w:hAnsi="Times New Roman" w:eastAsia="宋体" w:cs="Times New Roman"/>
                <w:color w:val="000000" w:themeColor="text1"/>
                <w:szCs w:val="21"/>
                <w:lang w:eastAsia="zh-CN"/>
                <w14:textFill>
                  <w14:solidFill>
                    <w14:schemeClr w14:val="tx1"/>
                  </w14:solidFill>
                </w14:textFill>
              </w:rPr>
              <w:t>工业炉窑大气污染物综合治理方案</w:t>
            </w:r>
            <w:r>
              <w:rPr>
                <w:rFonts w:hint="eastAsia" w:ascii="Times New Roman" w:hAnsi="Times New Roman" w:eastAsia="宋体" w:cs="Times New Roman"/>
                <w:color w:val="000000" w:themeColor="text1"/>
                <w:szCs w:val="21"/>
                <w:lang w:val="en-US" w:eastAsia="zh-CN"/>
                <w14:textFill>
                  <w14:solidFill>
                    <w14:schemeClr w14:val="tx1"/>
                  </w14:solidFill>
                </w14:textFill>
              </w:rPr>
              <w:t>&gt;的通知</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环大气[2019]56号</w:t>
            </w:r>
            <w:r>
              <w:rPr>
                <w:rFonts w:hint="eastAsia" w:ascii="Times New Roman" w:hAnsi="Times New Roman" w:eastAsia="宋体" w:cs="Times New Roman"/>
                <w:color w:val="000000" w:themeColor="text1"/>
                <w:szCs w:val="21"/>
                <w:lang w:eastAsia="zh-CN"/>
                <w14:textFill>
                  <w14:solidFill>
                    <w14:schemeClr w14:val="tx1"/>
                  </w14:solidFill>
                </w14:textFill>
              </w:rPr>
              <w:t>）文件要求</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无组织废气中颗粒物、二氧化硫、氮氧化物要达到</w:t>
            </w:r>
            <w:r>
              <w:rPr>
                <w:rFonts w:hint="default" w:ascii="Times New Roman" w:hAnsi="Times New Roman" w:eastAsia="宋体" w:cs="Times New Roman"/>
                <w:color w:val="000000" w:themeColor="text1"/>
                <w:szCs w:val="21"/>
                <w:lang w:eastAsia="zh-CN"/>
                <w14:textFill>
                  <w14:solidFill>
                    <w14:schemeClr w14:val="tx1"/>
                  </w14:solidFill>
                </w14:textFill>
              </w:rPr>
              <w:t>《大气污染物综合排放标准》（GB16297-1996)表2二级标准；氨要达到《恶臭污染物排放标准》（GB14554-93)表2</w:t>
            </w:r>
            <w:r>
              <w:rPr>
                <w:rFonts w:hint="eastAsia" w:ascii="Times New Roman" w:hAnsi="Times New Roman" w:eastAsia="宋体" w:cs="Times New Roman"/>
                <w:color w:val="000000" w:themeColor="text1"/>
                <w:szCs w:val="21"/>
                <w:lang w:eastAsia="zh-CN"/>
                <w14:textFill>
                  <w14:solidFill>
                    <w14:schemeClr w14:val="tx1"/>
                  </w14:solidFill>
                </w14:textFill>
              </w:rPr>
              <w:t>无组织排放监控浓度限值要求</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w:t>
            </w:r>
            <w:r>
              <w:rPr>
                <w:rFonts w:hint="eastAsia" w:ascii="Times New Roman" w:hAnsi="Times New Roman" w:eastAsia="宋体" w:cs="Times New Roman"/>
                <w:color w:val="000000" w:themeColor="text1"/>
                <w:szCs w:val="21"/>
                <w:lang w:val="en-US" w:eastAsia="zh-CN"/>
                <w14:textFill>
                  <w14:solidFill>
                    <w14:schemeClr w14:val="tx1"/>
                  </w14:solidFill>
                </w14:textFill>
              </w:rPr>
              <w:t>清洗废水暂存于储水池用于厂区泼洒抑尘、</w:t>
            </w:r>
            <w:r>
              <w:rPr>
                <w:rFonts w:hint="eastAsia" w:ascii="Times New Roman" w:hAnsi="Times New Roman" w:eastAsia="宋体" w:cs="Times New Roman"/>
                <w:color w:val="000000" w:themeColor="text1"/>
                <w:szCs w:val="21"/>
                <w:lang w:val="en-US" w:eastAsia="zh-CN"/>
                <w14:textFill>
                  <w14:solidFill>
                    <w14:schemeClr w14:val="tx1"/>
                  </w14:solidFill>
                </w14:textFill>
              </w:rPr>
              <w:t>磨口工序用水循环使用、生活污水厂内泼洒抑尘厂内设置防渗旱厕，定期清掏不外排。</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噪声：厂界噪声北厂界及东、西、南厂界要满足《工业企业厂界环境噪声排放标准》（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1类、2类标准要求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固体废物：生产过程中产生的固体废物要按照报告表所提各项措施进行处理，确保固体废物能够妥善安置。</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7"/>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4"/>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5"/>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6979036"/>
      <w:bookmarkStart w:id="72"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《大气污染物综合排放标准》（GB16297-1996）表2无组织排放监控浓度限值；《工业炉窑大气污染物排放标准》（DB13/ 1640-2012）表1中工业炉窑颗粒物排放限值中新建炉窑排放标准、表2工业炉窑有害污染物排放限值及《工业炉窑大气污染综合治理方案》（环大气[2019]56号）文件要求。</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restart"/>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退火工序废气排放口DA001</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30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《工业炉窑大气污染物排放标准》（DB13/ 1640-2012）表1中工业炉窑颗粒物排放限值中新建炉窑排放标准、表2工业炉窑有害污染物排放限值及《工业炉窑大气污染综合治理方案》（环大气[2019]56号）文件要求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二氧化硫</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氮氧化物</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300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烟气黑度</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w:t>
            </w:r>
            <w:r>
              <w:rPr>
                <w:rFonts w:hint="eastAsia" w:ascii="Times New Roman" w:hAnsi="Times New Roman" w:eastAsia="宋体" w:cs="Times New Roman"/>
                <w:b w:val="0"/>
                <w:bCs/>
                <w:sz w:val="21"/>
                <w:szCs w:val="21"/>
                <w:lang w:val="en-US" w:eastAsia="zh-CN"/>
              </w:rPr>
              <w:t>1级</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二氧化硫</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0.40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氮氧化物</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0.12</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bl>
    <w:p>
      <w:pPr>
        <w:pStyle w:val="5"/>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表1中12类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p>
        </w:tc>
        <w:tc>
          <w:tcPr>
            <w:tcW w:w="1407" w:type="dxa"/>
            <w:vMerge w:val="continue"/>
            <w:tcBorders/>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45</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szCs w:val="21"/>
              </w:rPr>
            </w:pP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continue"/>
            <w:tcBorders/>
            <w:vAlign w:val="center"/>
          </w:tcPr>
          <w:p>
            <w:pPr>
              <w:spacing w:line="300" w:lineRule="exact"/>
              <w:jc w:val="center"/>
              <w:rPr>
                <w:rFonts w:hint="eastAsia" w:ascii="Times New Roman" w:hAnsi="Times New Roman" w:eastAsia="宋体"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4"/>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新建项目</w:t>
      </w:r>
      <w:r>
        <w:rPr>
          <w:rFonts w:hint="default" w:ascii="Times New Roman" w:hAnsi="Times New Roman" w:eastAsia="宋体" w:cs="Times New Roman"/>
          <w:sz w:val="24"/>
          <w:szCs w:val="24"/>
          <w:lang w:eastAsia="zh-CN"/>
        </w:rPr>
        <w:t>完成后，全厂污染物核定排放总量控制指标为：COD：0t/a，氨氮：0t/a，SO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 xml:space="preserve"> ：0.039t/a，NOx：0.058t/a，颗粒物：0.006t/a</w:t>
      </w:r>
      <w:r>
        <w:rPr>
          <w:rFonts w:hint="default" w:ascii="Times New Roman" w:hAnsi="Times New Roman" w:eastAsia="宋体" w:cs="Times New Roman"/>
          <w:sz w:val="24"/>
          <w:szCs w:val="24"/>
          <w:lang w:val="en-US" w:eastAsia="zh-CN"/>
        </w:rPr>
        <w:t>。</w:t>
      </w:r>
    </w:p>
    <w:p>
      <w:pPr>
        <w:pStyle w:val="3"/>
        <w:rPr>
          <w:rFonts w:hint="default" w:ascii="Times New Roman" w:hAnsi="Times New Roman" w:cs="Times New Roman"/>
        </w:rPr>
      </w:pPr>
      <w:bookmarkStart w:id="79" w:name="_Toc504325363"/>
      <w:r>
        <w:rPr>
          <w:rFonts w:hint="default" w:ascii="Times New Roman" w:hAnsi="Times New Roman" w:cs="Times New Roman"/>
        </w:rPr>
        <w:br w:type="page"/>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08</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2022年10月09日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退火工序排气筒出口DA001设1个检测点位</w:t>
            </w:r>
          </w:p>
        </w:tc>
        <w:tc>
          <w:tcPr>
            <w:tcW w:w="2140" w:type="dxa"/>
            <w:vAlign w:val="center"/>
          </w:tcPr>
          <w:p>
            <w:pPr>
              <w:spacing w:line="240" w:lineRule="auto"/>
              <w:ind w:right="139" w:rightChars="66"/>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颗粒物、二氧化硫、氮氧化物、烟气黑度</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kern w:val="0"/>
                <w:szCs w:val="21"/>
                <w:lang w:val="en-US" w:eastAsia="zh-CN"/>
              </w:rPr>
              <w:t>颗粒物、二氧化硫、氮氧化物</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5"/>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颗粒物</w:t>
            </w:r>
          </w:p>
        </w:tc>
        <w:tc>
          <w:tcPr>
            <w:tcW w:w="28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低浓度颗粒物的测定 重量法》</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HJ 836-2017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1.0mg/m</w:t>
            </w:r>
            <w:r>
              <w:rPr>
                <w:rFonts w:hint="default" w:ascii="Times New Roman" w:hAnsi="Times New Roman" w:eastAsia="宋体" w:cs="Times New Roman"/>
                <w:sz w:val="21"/>
                <w:szCs w:val="21"/>
                <w:vertAlign w:val="superscript"/>
              </w:rPr>
              <w:t>3</w:t>
            </w:r>
          </w:p>
        </w:tc>
        <w:tc>
          <w:tcPr>
            <w:tcW w:w="293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YQ3000-C全自动烟尘烟气测试仪</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029-03）</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101-2AB电热鼓风干燥箱</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015-01）</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AUW220D岛津电子天平</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009-03）</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H06恒温恒湿室  </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（YQ 053-01）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二氧化硫</w:t>
            </w:r>
          </w:p>
        </w:tc>
        <w:tc>
          <w:tcPr>
            <w:tcW w:w="28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二氧化硫的测定 定电位电解法》</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HJ 57-2017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3mg/m</w:t>
            </w:r>
            <w:r>
              <w:rPr>
                <w:rFonts w:hint="default" w:ascii="Times New Roman" w:hAnsi="Times New Roman" w:eastAsia="宋体" w:cs="Times New Roman"/>
                <w:sz w:val="21"/>
                <w:szCs w:val="21"/>
                <w:vertAlign w:val="superscript"/>
              </w:rPr>
              <w:t>3</w:t>
            </w:r>
          </w:p>
        </w:tc>
        <w:tc>
          <w:tcPr>
            <w:tcW w:w="293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YQ3000-C全自动烟尘（气）测试仪</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029-03）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sz w:val="21"/>
                <w:szCs w:val="21"/>
              </w:rPr>
              <w:t>氮氧化物</w:t>
            </w:r>
          </w:p>
        </w:tc>
        <w:tc>
          <w:tcPr>
            <w:tcW w:w="28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氮氧化物的测定 定电位电解法》</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sz w:val="21"/>
                <w:szCs w:val="21"/>
              </w:rPr>
              <w:t>HJ 693-2014</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sz w:val="21"/>
                <w:szCs w:val="21"/>
              </w:rPr>
              <w:t>3mg/m</w:t>
            </w:r>
            <w:r>
              <w:rPr>
                <w:rFonts w:hint="default" w:ascii="Times New Roman" w:hAnsi="Times New Roman" w:eastAsia="宋体" w:cs="Times New Roman"/>
                <w:sz w:val="21"/>
                <w:szCs w:val="21"/>
                <w:vertAlign w:val="superscript"/>
              </w:rPr>
              <w:t>3</w:t>
            </w:r>
          </w:p>
        </w:tc>
        <w:tc>
          <w:tcPr>
            <w:tcW w:w="293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YQ3000-C全自动烟尘（气）测试仪</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029-03）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sz w:val="21"/>
                <w:szCs w:val="21"/>
              </w:rPr>
              <w:t>烟气黑度</w:t>
            </w:r>
          </w:p>
        </w:tc>
        <w:tc>
          <w:tcPr>
            <w:tcW w:w="28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《固定污染源排放 烟气黑度的测定 林格曼烟气黑度图法》</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sz w:val="21"/>
                <w:szCs w:val="21"/>
              </w:rPr>
              <w:t>HJ/T 398-2007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sz w:val="21"/>
                <w:szCs w:val="21"/>
              </w:rPr>
              <w:t>—</w:t>
            </w:r>
          </w:p>
        </w:tc>
        <w:tc>
          <w:tcPr>
            <w:tcW w:w="293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SC8000</w:t>
            </w:r>
            <w:r>
              <w:rPr>
                <w:rFonts w:hint="default" w:ascii="Times New Roman" w:hAnsi="Times New Roman" w:eastAsia="宋体" w:cs="Times New Roman"/>
                <w:sz w:val="21"/>
                <w:szCs w:val="21"/>
                <w:lang w:val="en-US" w:eastAsia="zh-CN"/>
              </w:rPr>
              <w:t xml:space="preserve"> 0-5级 </w:t>
            </w:r>
            <w:r>
              <w:rPr>
                <w:rFonts w:hint="default" w:ascii="Times New Roman" w:hAnsi="Times New Roman" w:eastAsia="宋体" w:cs="Times New Roman"/>
                <w:sz w:val="21"/>
                <w:szCs w:val="21"/>
              </w:rPr>
              <w:t>林格曼烟气浓度图</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043-0</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tc>
      </w:tr>
    </w:tbl>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br w:type="page"/>
            </w:r>
            <w:r>
              <w:rPr>
                <w:rFonts w:hint="default" w:ascii="Times New Roman" w:hAnsi="Times New Roman" w:eastAsia="宋体" w:cs="Times New Roman"/>
                <w:sz w:val="21"/>
                <w:szCs w:val="21"/>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总悬浮颗粒物的测定 重量法》（含修改单）</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GB/T 15432-1995</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kern w:val="0"/>
                <w:sz w:val="21"/>
                <w:szCs w:val="21"/>
              </w:rPr>
              <w:t>0.001mg/m</w:t>
            </w:r>
            <w:r>
              <w:rPr>
                <w:rFonts w:hint="default" w:ascii="Times New Roman" w:hAnsi="Times New Roman" w:eastAsia="宋体" w:cs="Times New Roman"/>
                <w:kern w:val="0"/>
                <w:sz w:val="21"/>
                <w:szCs w:val="21"/>
                <w:vertAlign w:val="superscript"/>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MH1200-16代全自动颗粒物大气采样器（YQ 030-01、02）</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MH1200型全自动颗粒物大气采样器（YQ 030-03、04）</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048-03）</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DEM6型轻便三杯风向风速表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038-04）</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HWS-70B恒温恒湿箱</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016-01）</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FA-2004B电子天平</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（YQ 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000000"/>
                <w:sz w:val="21"/>
                <w:szCs w:val="21"/>
                <w:lang w:eastAsia="zh-CN"/>
              </w:rPr>
              <w:t>二氧化硫</w:t>
            </w:r>
          </w:p>
        </w:tc>
        <w:tc>
          <w:tcPr>
            <w:tcW w:w="2667"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w:t>
            </w:r>
            <w:r>
              <w:rPr>
                <w:rFonts w:hint="default" w:ascii="Times New Roman" w:hAnsi="Times New Roman" w:eastAsia="宋体" w:cs="Times New Roman"/>
                <w:sz w:val="21"/>
                <w:szCs w:val="21"/>
                <w:lang w:val="en-US" w:eastAsia="zh-CN"/>
              </w:rPr>
              <w:t xml:space="preserve"> 二氧化硫的测定 甲醛吸收-副玫瑰苯胺分光光度法</w:t>
            </w:r>
            <w:r>
              <w:rPr>
                <w:rFonts w:hint="default" w:ascii="Times New Roman" w:hAnsi="Times New Roman" w:eastAsia="宋体" w:cs="Times New Roman"/>
                <w:sz w:val="21"/>
                <w:szCs w:val="21"/>
                <w:lang w:eastAsia="zh-CN"/>
              </w:rPr>
              <w:t>》（含修改单）</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HJ 482-2009</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0.007</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MH1200-16代全自动颗粒物大气采样器（YQ 030-01、02）</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MH1200型全自动颗粒物大气采样器（YQ 030-03、04）</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048-03）</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DEM6型轻便三杯风向风速表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038-04）</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V1000型可见分光光度计</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lang w:val="en-US" w:eastAsia="zh-CN"/>
              </w:rPr>
              <w:t>（YQ 005-01）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000000"/>
                <w:sz w:val="21"/>
                <w:szCs w:val="21"/>
                <w:lang w:eastAsia="zh-CN"/>
              </w:rPr>
              <w:t>氮氧化物</w:t>
            </w:r>
          </w:p>
        </w:tc>
        <w:tc>
          <w:tcPr>
            <w:tcW w:w="2667"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w:t>
            </w:r>
            <w:r>
              <w:rPr>
                <w:rFonts w:hint="default" w:ascii="Times New Roman" w:hAnsi="Times New Roman" w:eastAsia="宋体" w:cs="Times New Roman"/>
                <w:sz w:val="21"/>
                <w:szCs w:val="21"/>
                <w:lang w:val="en-US" w:eastAsia="zh-CN"/>
              </w:rPr>
              <w:t xml:space="preserve"> 氮氧化物（一氧化氮和二氧化氮）的测定 盐酸萘乙二胺分光光度法</w:t>
            </w:r>
            <w:r>
              <w:rPr>
                <w:rFonts w:hint="default" w:ascii="Times New Roman" w:hAnsi="Times New Roman" w:eastAsia="宋体" w:cs="Times New Roman"/>
                <w:sz w:val="21"/>
                <w:szCs w:val="21"/>
                <w:lang w:eastAsia="zh-CN"/>
              </w:rPr>
              <w:t>》</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HJ/T 479-2009</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0.005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MH1200-16代全自动颗粒物大气采样器（YQ 030-01、02）</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MH1200型全自动颗粒物大气采样器（YQ 030-03、04）</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048-03）</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DEM6型轻便三杯风向风速表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038-04）</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V1000型可见分光光度计</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（YQ 005-01）</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9"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rPr>
              <w:t>《工业企业厂界环境噪声排放标准》GB 12348-2008</w:t>
            </w:r>
          </w:p>
        </w:tc>
        <w:tc>
          <w:tcPr>
            <w:tcW w:w="3827" w:type="dxa"/>
            <w:tcBorders>
              <w:top w:val="single" w:color="auto" w:sz="4" w:space="0"/>
              <w:lef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AWA6228</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多功能声级计</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036-01）</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AWA6021A声校准器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036-04）</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DEM6轻便三杯风向风速表</w:t>
            </w:r>
          </w:p>
          <w:p>
            <w:pPr>
              <w:pStyle w:val="7"/>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（YQ 038-04）</w:t>
            </w:r>
          </w:p>
        </w:tc>
      </w:tr>
    </w:tbl>
    <w:p>
      <w:pPr>
        <w:pStyle w:val="5"/>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360" w:firstLineChars="200"/>
        <w:jc w:val="left"/>
        <w:rPr>
          <w:rFonts w:hint="default" w:ascii="Times New Roman" w:hAnsi="Times New Roman" w:cs="Times New Roman"/>
          <w:bCs/>
          <w:sz w:val="18"/>
          <w:szCs w:val="18"/>
        </w:rPr>
      </w:pPr>
    </w:p>
    <w:p>
      <w:pPr>
        <w:ind w:firstLine="560" w:firstLineChars="200"/>
        <w:jc w:val="left"/>
        <w:rPr>
          <w:rFonts w:hint="default" w:ascii="Times New Roman" w:hAnsi="Times New Roman" w:cs="Times New Roman"/>
          <w:bCs/>
          <w:sz w:val="18"/>
          <w:szCs w:val="18"/>
        </w:rPr>
      </w:pPr>
      <w:r>
        <w:rPr>
          <w:b/>
          <w:sz w:val="28"/>
          <w:szCs w:val="28"/>
        </w:rPr>
        <w:pict>
          <v:shape id="_x0000_s1200" o:spid="_x0000_s1200" o:spt="75" type="#_x0000_t75" style="position:absolute;left:0pt;margin-left:197pt;margin-top:-6.4pt;height:305.1pt;width:231.3pt;z-index:-25165107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200" DrawAspect="Content" ObjectID="_1468075725" r:id="rId9">
            <o:LockedField>false</o:LockedField>
          </o:OLEObject>
        </w:pict>
      </w:r>
      <w:r>
        <w:rPr>
          <w:b/>
          <w:sz w:val="28"/>
          <w:szCs w:val="28"/>
        </w:rPr>
        <w:pict>
          <v:shape id="对象 27" o:spid="_x0000_s1201" o:spt="75" type="#_x0000_t75" style="position:absolute;left:0pt;margin-left:-14.2pt;margin-top:-6.4pt;height:305.1pt;width:231.3pt;z-index:-251653120;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对象 27" DrawAspect="Content" ObjectID="_1468075726" r:id="rId11">
            <o:LockedField>false</o:LockedField>
          </o:OLEObject>
        </w:pict>
      </w: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7"/>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757"/>
        <w:gridCol w:w="650"/>
        <w:gridCol w:w="861"/>
        <w:gridCol w:w="861"/>
        <w:gridCol w:w="861"/>
        <w:gridCol w:w="861"/>
        <w:gridCol w:w="1528"/>
        <w:gridCol w:w="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12"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75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650"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583"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86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28"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59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12"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75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65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861"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861"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861"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86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28"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59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退火炉工序</w:t>
            </w:r>
            <w:r>
              <w:rPr>
                <w:rFonts w:hint="default" w:ascii="Times New Roman" w:hAnsi="Times New Roman" w:eastAsia="宋体" w:cs="Times New Roman"/>
                <w:color w:val="auto"/>
                <w:sz w:val="21"/>
                <w:szCs w:val="21"/>
              </w:rPr>
              <w:t>排气筒出口</w:t>
            </w:r>
          </w:p>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2022.10.0</w:t>
            </w:r>
            <w:r>
              <w:rPr>
                <w:rFonts w:hint="eastAsia" w:ascii="Times New Roman" w:hAnsi="Times New Roman" w:eastAsia="宋体" w:cs="Times New Roman"/>
                <w:color w:val="auto"/>
                <w:sz w:val="21"/>
                <w:szCs w:val="21"/>
                <w:lang w:val="en-US" w:eastAsia="zh-CN"/>
              </w:rPr>
              <w:t>8</w:t>
            </w:r>
          </w:p>
        </w:tc>
        <w:tc>
          <w:tcPr>
            <w:tcW w:w="1757" w:type="dxa"/>
            <w:tcBorders>
              <w:top w:val="single" w:color="auto" w:sz="4" w:space="0"/>
            </w:tcBorders>
            <w:vAlign w:val="center"/>
          </w:tcPr>
          <w:p>
            <w:pPr>
              <w:spacing w:line="240" w:lineRule="auto"/>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标干流量</w:t>
            </w:r>
          </w:p>
        </w:tc>
        <w:tc>
          <w:tcPr>
            <w:tcW w:w="650" w:type="dxa"/>
            <w:vAlign w:val="center"/>
          </w:tcPr>
          <w:p>
            <w:pPr>
              <w:spacing w:line="240" w:lineRule="auto"/>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372</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360</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384</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384</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浓度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1.7</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1.7</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1.8</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1.8</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颗粒物折算浓度</w:t>
            </w:r>
          </w:p>
        </w:tc>
        <w:tc>
          <w:tcPr>
            <w:tcW w:w="65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2.4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2.3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2.5</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2.5</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6.32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6.12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kern w:val="0"/>
                <w:sz w:val="21"/>
                <w:szCs w:val="21"/>
                <w:lang w:val="en-US" w:eastAsia="zh-CN" w:bidi="ar"/>
              </w:rPr>
              <w:t>6.91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z w:val="21"/>
                <w:szCs w:val="21"/>
                <w:lang w:val="en-US" w:eastAsia="zh-CN"/>
              </w:rPr>
              <w:t>6.91×10</w:t>
            </w:r>
            <w:r>
              <w:rPr>
                <w:rFonts w:hint="default" w:ascii="Times New Roman" w:hAnsi="Times New Roman" w:eastAsia="宋体" w:cs="Times New Roman"/>
                <w:color w:val="auto"/>
                <w:sz w:val="21"/>
                <w:szCs w:val="21"/>
                <w:vertAlign w:val="superscript"/>
                <w:lang w:val="en-US" w:eastAsia="zh-CN"/>
              </w:rPr>
              <w:t>-4</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浓度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4</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二氧化硫折算浓度</w:t>
            </w:r>
          </w:p>
        </w:tc>
        <w:tc>
          <w:tcPr>
            <w:tcW w:w="65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4</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环大气[2019]56号（200）</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排放速率</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1.49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1.44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kern w:val="0"/>
                <w:sz w:val="21"/>
                <w:szCs w:val="21"/>
                <w:lang w:val="en-US" w:eastAsia="zh-CN" w:bidi="ar"/>
              </w:rPr>
              <w:t>1.15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1.49×10</w:t>
            </w:r>
            <w:r>
              <w:rPr>
                <w:rFonts w:hint="default" w:ascii="Times New Roman" w:hAnsi="Times New Roman" w:eastAsia="宋体" w:cs="Times New Roman"/>
                <w:color w:val="auto"/>
                <w:sz w:val="21"/>
                <w:szCs w:val="21"/>
                <w:vertAlign w:val="superscript"/>
                <w:lang w:val="en-US" w:eastAsia="zh-CN"/>
              </w:rPr>
              <w:t>-3</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浓度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55</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56</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57</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57</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氮氧化物折算浓度</w:t>
            </w:r>
          </w:p>
        </w:tc>
        <w:tc>
          <w:tcPr>
            <w:tcW w:w="65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76</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77</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79</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79</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环大气[2019]56号（300）</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排放速率</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2.05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2.02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kern w:val="0"/>
                <w:sz w:val="21"/>
                <w:szCs w:val="21"/>
                <w:lang w:val="en-US" w:eastAsia="zh-CN" w:bidi="ar"/>
              </w:rPr>
              <w:t>2.19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z w:val="21"/>
                <w:szCs w:val="21"/>
                <w:lang w:val="en-US" w:eastAsia="zh-CN"/>
              </w:rPr>
              <w:t>2.19×10</w:t>
            </w:r>
            <w:r>
              <w:rPr>
                <w:rFonts w:hint="default" w:ascii="Times New Roman" w:hAnsi="Times New Roman" w:eastAsia="宋体" w:cs="Times New Roman"/>
                <w:color w:val="auto"/>
                <w:sz w:val="21"/>
                <w:szCs w:val="21"/>
                <w:vertAlign w:val="superscript"/>
                <w:lang w:val="en-US" w:eastAsia="zh-CN"/>
              </w:rPr>
              <w:t>-2</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烟气黑度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级</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528"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DB13/1640-2012（</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b w:val="0"/>
                <w:bCs/>
                <w:spacing w:val="0"/>
                <w:sz w:val="21"/>
                <w:szCs w:val="21"/>
                <w:lang w:val="en-US" w:eastAsia="zh-CN"/>
              </w:rPr>
              <w:t>）</w:t>
            </w:r>
          </w:p>
        </w:tc>
        <w:tc>
          <w:tcPr>
            <w:tcW w:w="599"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bl>
    <w:p>
      <w:pPr>
        <w:rPr>
          <w:rFonts w:hint="eastAsia"/>
          <w:lang w:val="en-US" w:eastAsia="zh-CN"/>
        </w:rPr>
      </w:pPr>
      <w:r>
        <w:rPr>
          <w:rFonts w:hint="eastAsia"/>
          <w:lang w:val="en-US" w:eastAsia="zh-CN"/>
        </w:rPr>
        <w:br w:type="page"/>
      </w:r>
    </w:p>
    <w:p>
      <w:pPr>
        <w:rPr>
          <w:rFonts w:hint="eastAsia" w:eastAsiaTheme="minorEastAsia"/>
          <w:lang w:val="en-US" w:eastAsia="zh-CN"/>
        </w:rPr>
      </w:pPr>
      <w:r>
        <w:rPr>
          <w:rFonts w:hint="eastAsia"/>
          <w:lang w:val="en-US" w:eastAsia="zh-CN"/>
        </w:rPr>
        <w:t>续上表</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757"/>
        <w:gridCol w:w="650"/>
        <w:gridCol w:w="861"/>
        <w:gridCol w:w="861"/>
        <w:gridCol w:w="861"/>
        <w:gridCol w:w="861"/>
        <w:gridCol w:w="1492"/>
        <w:gridCol w:w="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12"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bookmarkStart w:id="92" w:name="_Toc504325372"/>
            <w:bookmarkStart w:id="93" w:name="_Toc503969735"/>
            <w:bookmarkStart w:id="94" w:name="_Toc503681484"/>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75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650"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583"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86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492"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63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12"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75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65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861"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861"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861"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86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492"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63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退火炉工序</w:t>
            </w:r>
            <w:r>
              <w:rPr>
                <w:rFonts w:hint="default" w:ascii="Times New Roman" w:hAnsi="Times New Roman" w:eastAsia="宋体" w:cs="Times New Roman"/>
                <w:color w:val="auto"/>
                <w:sz w:val="21"/>
                <w:szCs w:val="21"/>
              </w:rPr>
              <w:t>排气筒出口</w:t>
            </w:r>
          </w:p>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2022.10.0</w:t>
            </w:r>
            <w:r>
              <w:rPr>
                <w:rFonts w:hint="default" w:ascii="Times New Roman" w:hAnsi="Times New Roman" w:eastAsia="宋体" w:cs="Times New Roman"/>
                <w:color w:val="auto"/>
                <w:sz w:val="21"/>
                <w:szCs w:val="21"/>
                <w:lang w:val="en-US" w:eastAsia="zh-CN"/>
              </w:rPr>
              <w:t>9</w:t>
            </w:r>
          </w:p>
        </w:tc>
        <w:tc>
          <w:tcPr>
            <w:tcW w:w="1757" w:type="dxa"/>
            <w:tcBorders>
              <w:top w:val="single" w:color="auto" w:sz="4" w:space="0"/>
            </w:tcBorders>
            <w:vAlign w:val="center"/>
          </w:tcPr>
          <w:p>
            <w:pPr>
              <w:spacing w:line="240" w:lineRule="auto"/>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标干流量</w:t>
            </w:r>
          </w:p>
        </w:tc>
        <w:tc>
          <w:tcPr>
            <w:tcW w:w="650" w:type="dxa"/>
            <w:vAlign w:val="center"/>
          </w:tcPr>
          <w:p>
            <w:pPr>
              <w:spacing w:line="240" w:lineRule="auto"/>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362</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387</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374</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387</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浓度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1.9</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1.9</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1.9</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1.9</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颗粒物折算浓度</w:t>
            </w:r>
          </w:p>
        </w:tc>
        <w:tc>
          <w:tcPr>
            <w:tcW w:w="65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2.7</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2.6</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2.7</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2.7</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6.88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7.35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kern w:val="0"/>
                <w:sz w:val="21"/>
                <w:szCs w:val="21"/>
                <w:lang w:val="en-US" w:eastAsia="zh-CN" w:bidi="ar"/>
              </w:rPr>
              <w:t>7.11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z w:val="21"/>
                <w:szCs w:val="21"/>
                <w:lang w:val="en-US" w:eastAsia="zh-CN"/>
              </w:rPr>
              <w:t>7.35×10</w:t>
            </w:r>
            <w:r>
              <w:rPr>
                <w:rFonts w:hint="default" w:ascii="Times New Roman" w:hAnsi="Times New Roman" w:eastAsia="宋体" w:cs="Times New Roman"/>
                <w:color w:val="auto"/>
                <w:sz w:val="21"/>
                <w:szCs w:val="21"/>
                <w:vertAlign w:val="superscript"/>
                <w:lang w:val="en-US" w:eastAsia="zh-CN"/>
              </w:rPr>
              <w:t>-4</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浓度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5</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二氧化硫折算浓度</w:t>
            </w:r>
          </w:p>
        </w:tc>
        <w:tc>
          <w:tcPr>
            <w:tcW w:w="65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7</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7</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环大气[2019]56号（200）</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二氧化硫</w:t>
            </w:r>
            <w:r>
              <w:rPr>
                <w:rFonts w:hint="default" w:ascii="Times New Roman" w:hAnsi="Times New Roman" w:eastAsia="宋体" w:cs="Times New Roman"/>
                <w:color w:val="auto"/>
                <w:sz w:val="21"/>
                <w:szCs w:val="21"/>
              </w:rPr>
              <w:t>排放速率</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1.09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1.55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kern w:val="0"/>
                <w:sz w:val="21"/>
                <w:szCs w:val="21"/>
                <w:lang w:val="en-US" w:eastAsia="zh-CN" w:bidi="ar"/>
              </w:rPr>
              <w:t>1.87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1.87×10</w:t>
            </w:r>
            <w:r>
              <w:rPr>
                <w:rFonts w:hint="default" w:ascii="Times New Roman" w:hAnsi="Times New Roman" w:eastAsia="宋体" w:cs="Times New Roman"/>
                <w:color w:val="auto"/>
                <w:sz w:val="21"/>
                <w:szCs w:val="21"/>
                <w:vertAlign w:val="superscript"/>
                <w:lang w:val="en-US" w:eastAsia="zh-CN"/>
              </w:rPr>
              <w:t>-3</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浓度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54</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55</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55</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55</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氮氧化物折算浓度</w:t>
            </w:r>
          </w:p>
        </w:tc>
        <w:tc>
          <w:tcPr>
            <w:tcW w:w="650"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76</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76</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78</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78</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20"/>
                <w:sz w:val="21"/>
                <w:szCs w:val="21"/>
                <w:lang w:val="en-US" w:eastAsia="zh-CN"/>
              </w:rPr>
              <w:t>环大气[2019]56号（300）</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snapToGrid w:val="0"/>
              <w:spacing w:line="240" w:lineRule="auto"/>
              <w:jc w:val="center"/>
              <w:rPr>
                <w:rFonts w:hint="default" w:ascii="Times New Roman" w:hAnsi="Times New Roman" w:eastAsia="宋体" w:cs="Times New Roman"/>
                <w:color w:val="auto"/>
                <w:sz w:val="21"/>
                <w:szCs w:val="21"/>
                <w:lang w:val="en-US"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rPr>
              <w:t>排放速率</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1.95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sz w:val="21"/>
                <w:szCs w:val="21"/>
                <w:lang w:val="en-US" w:eastAsia="zh-CN"/>
              </w:rPr>
              <w:t>2.13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86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cs="Times New Roman"/>
                <w:color w:val="auto"/>
                <w:kern w:val="0"/>
                <w:sz w:val="21"/>
                <w:szCs w:val="21"/>
                <w:lang w:val="en-US" w:eastAsia="zh-CN" w:bidi="ar"/>
              </w:rPr>
              <w:t>2.06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86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1"/>
                <w:kern w:val="0"/>
                <w:sz w:val="21"/>
                <w:szCs w:val="21"/>
                <w:lang w:val="en-US" w:eastAsia="zh-CN" w:bidi="ar"/>
              </w:rPr>
            </w:pPr>
            <w:r>
              <w:rPr>
                <w:rFonts w:hint="default" w:ascii="Times New Roman" w:hAnsi="Times New Roman" w:eastAsia="宋体" w:cs="Times New Roman"/>
                <w:color w:val="auto"/>
                <w:sz w:val="21"/>
                <w:szCs w:val="21"/>
                <w:lang w:val="en-US" w:eastAsia="zh-CN"/>
              </w:rPr>
              <w:t>2.13×10</w:t>
            </w:r>
            <w:r>
              <w:rPr>
                <w:rFonts w:hint="default" w:ascii="Times New Roman" w:hAnsi="Times New Roman" w:eastAsia="宋体" w:cs="Times New Roman"/>
                <w:color w:val="auto"/>
                <w:sz w:val="21"/>
                <w:szCs w:val="21"/>
                <w:vertAlign w:val="superscript"/>
                <w:lang w:val="en-US" w:eastAsia="zh-CN"/>
              </w:rPr>
              <w:t>-2</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75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烟气黑度</w:t>
            </w:r>
          </w:p>
        </w:tc>
        <w:tc>
          <w:tcPr>
            <w:tcW w:w="65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级</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861" w:type="dxa"/>
            <w:tcBorders>
              <w:top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492"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DB13/1640-2012（</w:t>
            </w: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b w:val="0"/>
                <w:bCs/>
                <w:spacing w:val="0"/>
                <w:sz w:val="21"/>
                <w:szCs w:val="21"/>
                <w:lang w:val="en-US" w:eastAsia="zh-CN"/>
              </w:rPr>
              <w:t>）</w:t>
            </w:r>
          </w:p>
        </w:tc>
        <w:tc>
          <w:tcPr>
            <w:tcW w:w="63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504325373"/>
      <w:bookmarkStart w:id="96" w:name="_Toc497001489"/>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2022.10.08</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0.209</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0.193</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0.488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0.438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0.523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0.508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0.471</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0.490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2022.10.0</w:t>
            </w:r>
            <w:r>
              <w:rPr>
                <w:rFonts w:hint="default" w:ascii="Times New Roman" w:hAnsi="Times New Roman" w:eastAsia="宋体" w:cs="Times New Roman"/>
                <w:color w:val="auto"/>
                <w:sz w:val="21"/>
                <w:szCs w:val="21"/>
                <w:lang w:val="en-US" w:eastAsia="zh-CN"/>
              </w:rPr>
              <w:t>9</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0.208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0.209</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0.520</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0.471</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0.485</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0.506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0.502</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0.471</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二氧化硫</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2022.10.08</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0.028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0.027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0.120</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0.126</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0.125</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二氧化硫</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2022.10.0</w:t>
            </w:r>
            <w:r>
              <w:rPr>
                <w:rFonts w:hint="default" w:ascii="Times New Roman" w:hAnsi="Times New Roman" w:eastAsia="宋体" w:cs="Times New Roman"/>
                <w:color w:val="auto"/>
                <w:sz w:val="21"/>
                <w:szCs w:val="21"/>
                <w:lang w:val="en-US" w:eastAsia="zh-CN"/>
              </w:rPr>
              <w:t>9</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0.028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0.028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0.120</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0.119</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0.127</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0.120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氮氧化物</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2022.10.08</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0.031</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0.032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0.080</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0.077</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0.079</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氮氧化物</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2022.10.0</w:t>
            </w:r>
            <w:r>
              <w:rPr>
                <w:rFonts w:hint="default" w:ascii="Times New Roman" w:hAnsi="Times New Roman" w:eastAsia="宋体" w:cs="Times New Roman"/>
                <w:color w:val="auto"/>
                <w:sz w:val="21"/>
                <w:szCs w:val="21"/>
                <w:lang w:val="en-US" w:eastAsia="zh-CN"/>
              </w:rPr>
              <w:t>9</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厂界外上风向参照点○4</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0.030</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0.029</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0.073</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0.074</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0.076</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lang w:val="en-US" w:eastAsia="zh-CN" w:bidi="ar-SA"/>
              </w:rPr>
              <w:t>0.076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bidi="ar"/>
              </w:rPr>
              <w:t>0.075</w:t>
            </w:r>
          </w:p>
        </w:tc>
      </w:tr>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2"/>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2022.10.08</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2022.10.09</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东</w:t>
            </w:r>
            <w:r>
              <w:rPr>
                <w:rFonts w:hint="default" w:ascii="Times New Roman" w:hAnsi="Times New Roman" w:eastAsia="宋体" w:cs="Times New Roman"/>
                <w:sz w:val="21"/>
                <w:szCs w:val="21"/>
                <w:lang w:eastAsia="zh-CN"/>
              </w:rPr>
              <w:t>厂界外1m处（</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58.0</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58.1</w:t>
            </w:r>
          </w:p>
        </w:tc>
        <w:tc>
          <w:tcPr>
            <w:tcW w:w="1341" w:type="dxa"/>
            <w:vMerge w:val="restart"/>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南</w:t>
            </w:r>
            <w:r>
              <w:rPr>
                <w:rFonts w:hint="default" w:ascii="Times New Roman" w:hAnsi="Times New Roman" w:eastAsia="宋体" w:cs="Times New Roman"/>
                <w:sz w:val="21"/>
                <w:szCs w:val="21"/>
                <w:lang w:eastAsia="zh-CN"/>
              </w:rPr>
              <w:t>厂界外1m处（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57.5</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57.6</w:t>
            </w:r>
          </w:p>
        </w:tc>
        <w:tc>
          <w:tcPr>
            <w:tcW w:w="1341" w:type="dxa"/>
            <w:vMerge w:val="continue"/>
            <w:tcBorders/>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西</w:t>
            </w:r>
            <w:r>
              <w:rPr>
                <w:rFonts w:hint="default" w:ascii="Times New Roman" w:hAnsi="Times New Roman" w:eastAsia="宋体" w:cs="Times New Roman"/>
                <w:sz w:val="21"/>
                <w:szCs w:val="21"/>
                <w:lang w:eastAsia="zh-CN"/>
              </w:rPr>
              <w:t>厂界外1m处（</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56.7</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56.2</w:t>
            </w:r>
          </w:p>
        </w:tc>
        <w:tc>
          <w:tcPr>
            <w:tcW w:w="1341" w:type="dxa"/>
            <w:vMerge w:val="continue"/>
            <w:tcBorders/>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北</w:t>
            </w:r>
            <w:r>
              <w:rPr>
                <w:rFonts w:hint="default" w:ascii="Times New Roman" w:hAnsi="Times New Roman" w:eastAsia="宋体" w:cs="Times New Roman"/>
                <w:sz w:val="21"/>
                <w:szCs w:val="21"/>
                <w:lang w:eastAsia="zh-CN"/>
              </w:rPr>
              <w:t>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53.9</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52.9</w:t>
            </w:r>
          </w:p>
        </w:tc>
        <w:tc>
          <w:tcPr>
            <w:tcW w:w="1341" w:type="dxa"/>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昼间：</w:t>
            </w:r>
            <w:r>
              <w:rPr>
                <w:rFonts w:hint="eastAsia" w:ascii="Times New Roman" w:hAnsi="Times New Roman" w:eastAsia="宋体" w:cs="Times New Roman"/>
                <w:lang w:val="en-US" w:eastAsia="zh-CN"/>
              </w:rPr>
              <w:t>55</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504325375"/>
      <w:bookmarkStart w:id="99" w:name="_Toc497001491"/>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00" w:name="_Toc6604"/>
      <w:bookmarkStart w:id="101" w:name="_Toc6889"/>
      <w:bookmarkStart w:id="102" w:name="_Toc1528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default" w:ascii="Times New Roman" w:hAnsi="Times New Roman" w:eastAsia="宋体" w:cs="Times New Roman"/>
          <w:color w:val="auto"/>
          <w:spacing w:val="-2"/>
          <w:sz w:val="24"/>
          <w:szCs w:val="24"/>
          <w:lang w:val="en-US" w:eastAsia="zh-CN"/>
        </w:rPr>
        <w:t>退火炉工序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废气由15m高排气筒排放，颗粒物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79</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烟气黑度＜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1级，均满足</w:t>
      </w:r>
      <w:r>
        <w:rPr>
          <w:rFonts w:hint="default" w:ascii="Times New Roman" w:hAnsi="Times New Roman" w:eastAsia="宋体" w:cs="Times New Roman"/>
          <w:color w:val="000000" w:themeColor="text1"/>
          <w:sz w:val="24"/>
          <w:szCs w:val="24"/>
          <w14:textFill>
            <w14:solidFill>
              <w14:schemeClr w14:val="tx1"/>
            </w14:solidFill>
          </w14:textFill>
        </w:rPr>
        <w:t>《工业炉窑大气污染物排放标准》（DB13/1640-2012）表1工业炉窑颗粒物排放限值</w:t>
      </w:r>
      <w:r>
        <w:rPr>
          <w:rFonts w:hint="default" w:ascii="Times New Roman" w:hAnsi="Times New Roman" w:eastAsia="宋体" w:cs="Times New Roman"/>
          <w:color w:val="000000" w:themeColor="text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z w:val="24"/>
          <w:szCs w:val="24"/>
          <w14:textFill>
            <w14:solidFill>
              <w14:schemeClr w14:val="tx1"/>
            </w14:solidFill>
          </w14:textFill>
        </w:rPr>
        <w:t>新建炉窑</w:t>
      </w:r>
      <w:r>
        <w:rPr>
          <w:rFonts w:hint="default" w:ascii="Times New Roman" w:hAnsi="Times New Roman" w:eastAsia="宋体" w:cs="Times New Roman"/>
          <w:color w:val="000000" w:themeColor="text1"/>
          <w:sz w:val="24"/>
          <w:szCs w:val="24"/>
          <w:lang w:eastAsia="zh-CN"/>
          <w14:textFill>
            <w14:solidFill>
              <w14:schemeClr w14:val="tx1"/>
            </w14:solidFill>
          </w14:textFill>
        </w:rPr>
        <w:t>排放浓度限值、</w:t>
      </w:r>
      <w:r>
        <w:rPr>
          <w:rFonts w:hint="default" w:ascii="Times New Roman" w:hAnsi="Times New Roman" w:eastAsia="宋体" w:cs="Times New Roman"/>
          <w:color w:val="000000" w:themeColor="text1"/>
          <w:sz w:val="24"/>
          <w:szCs w:val="24"/>
          <w14:textFill>
            <w14:solidFill>
              <w14:schemeClr w14:val="tx1"/>
            </w14:solidFill>
          </w14:textFill>
        </w:rPr>
        <w:t>表2工业炉窑有害污染物排放限值</w:t>
      </w:r>
      <w:r>
        <w:rPr>
          <w:rFonts w:hint="default" w:ascii="Times New Roman" w:hAnsi="Times New Roman" w:eastAsia="宋体" w:cs="Times New Roman"/>
          <w:color w:val="000000" w:themeColor="text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z w:val="24"/>
          <w:szCs w:val="24"/>
          <w14:textFill>
            <w14:solidFill>
              <w14:schemeClr w14:val="tx1"/>
            </w14:solidFill>
          </w14:textFill>
        </w:rPr>
        <w:t>新建炉窑排放浓度限值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400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400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，烟气黑度＜</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1级</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14:textFill>
            <w14:solidFill>
              <w14:schemeClr w14:val="tx1"/>
            </w14:solidFill>
          </w14:textFill>
        </w:rPr>
        <w:t>《关于印发&lt;工业炉窑大气污染综合治理方案&gt;的通知》（环大气[2019]56号）中工业炉窑污染物排放限值要求</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color w:val="auto"/>
          <w:sz w:val="24"/>
          <w:szCs w:val="24"/>
        </w:rPr>
        <w:t>无组织颗粒物最高排放</w:t>
      </w:r>
      <w:r>
        <w:rPr>
          <w:rFonts w:hint="default" w:ascii="Times New Roman" w:hAnsi="Times New Roman" w:eastAsia="宋体" w:cs="Times New Roman"/>
          <w:color w:val="auto"/>
          <w:sz w:val="24"/>
          <w:szCs w:val="24"/>
          <w:lang w:eastAsia="zh-CN"/>
        </w:rPr>
        <w:t>监控</w:t>
      </w:r>
      <w:r>
        <w:rPr>
          <w:rFonts w:hint="default" w:ascii="Times New Roman" w:hAnsi="Times New Roman" w:eastAsia="宋体" w:cs="Times New Roman"/>
          <w:color w:val="auto"/>
          <w:sz w:val="24"/>
          <w:szCs w:val="24"/>
        </w:rPr>
        <w:t>浓度为0.5</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二氧化硫</w:t>
      </w:r>
      <w:r>
        <w:rPr>
          <w:rFonts w:hint="default" w:ascii="Times New Roman" w:hAnsi="Times New Roman" w:eastAsia="宋体" w:cs="Times New Roman"/>
          <w:color w:val="auto"/>
          <w:sz w:val="24"/>
          <w:szCs w:val="24"/>
        </w:rPr>
        <w:t>最高排放</w:t>
      </w:r>
      <w:r>
        <w:rPr>
          <w:rFonts w:hint="default" w:ascii="Times New Roman" w:hAnsi="Times New Roman" w:eastAsia="宋体" w:cs="Times New Roman"/>
          <w:color w:val="auto"/>
          <w:sz w:val="24"/>
          <w:szCs w:val="24"/>
          <w:lang w:eastAsia="zh-CN"/>
        </w:rPr>
        <w:t>监控</w:t>
      </w:r>
      <w:r>
        <w:rPr>
          <w:rFonts w:hint="default" w:ascii="Times New Roman" w:hAnsi="Times New Roman" w:eastAsia="宋体" w:cs="Times New Roman"/>
          <w:color w:val="auto"/>
          <w:sz w:val="24"/>
          <w:szCs w:val="24"/>
        </w:rPr>
        <w:t>浓度为0.</w:t>
      </w:r>
      <w:r>
        <w:rPr>
          <w:rFonts w:hint="default" w:ascii="Times New Roman" w:hAnsi="Times New Roman" w:eastAsia="宋体" w:cs="Times New Roman"/>
          <w:color w:val="auto"/>
          <w:sz w:val="24"/>
          <w:szCs w:val="24"/>
          <w:lang w:val="en-US" w:eastAsia="zh-CN"/>
        </w:rPr>
        <w:t>128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氮氧化物</w:t>
      </w:r>
      <w:r>
        <w:rPr>
          <w:rFonts w:hint="default" w:ascii="Times New Roman" w:hAnsi="Times New Roman" w:eastAsia="宋体" w:cs="Times New Roman"/>
          <w:color w:val="auto"/>
          <w:sz w:val="24"/>
          <w:szCs w:val="24"/>
        </w:rPr>
        <w:t>最高排放</w:t>
      </w:r>
      <w:r>
        <w:rPr>
          <w:rFonts w:hint="default" w:ascii="Times New Roman" w:hAnsi="Times New Roman" w:eastAsia="宋体" w:cs="Times New Roman"/>
          <w:color w:val="auto"/>
          <w:sz w:val="24"/>
          <w:szCs w:val="24"/>
          <w:lang w:eastAsia="zh-CN"/>
        </w:rPr>
        <w:t>监控</w:t>
      </w:r>
      <w:r>
        <w:rPr>
          <w:rFonts w:hint="default" w:ascii="Times New Roman" w:hAnsi="Times New Roman" w:eastAsia="宋体" w:cs="Times New Roman"/>
          <w:color w:val="auto"/>
          <w:sz w:val="24"/>
          <w:szCs w:val="24"/>
        </w:rPr>
        <w:t>浓度为0.</w:t>
      </w:r>
      <w:r>
        <w:rPr>
          <w:rFonts w:hint="default" w:ascii="Times New Roman" w:hAnsi="Times New Roman" w:eastAsia="宋体" w:cs="Times New Roman"/>
          <w:color w:val="auto"/>
          <w:sz w:val="24"/>
          <w:szCs w:val="24"/>
          <w:lang w:val="en-US" w:eastAsia="zh-CN"/>
        </w:rPr>
        <w:t>080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rPr>
        <w:t>满足《大气污染物综合排放标准》（GB16297-1996）表2新污染源大气污染物排放限值中无组织排放监控浓度限值（颗粒物：1.0mg/m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0.40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0.12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经检测，该项目厂界北、东、南、西方向各设1个监测点位，厂界南侧、东侧、西侧各点位昼间噪声测量值，均满足《工业企业厂界环境噪声排放标准》          （GB 12348-2008）表1中2类标准限值（昼间：60dB（A））；厂界北侧昼间噪声测量值，满足《工业企业厂界环境噪声排放标准》（GB 12348-2008）表1中1类标准限值（昼间：55dB（A））。</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项目污染物</w:t>
      </w:r>
      <w:r>
        <w:rPr>
          <w:rFonts w:hint="default" w:ascii="Times New Roman" w:hAnsi="Times New Roman" w:eastAsia="宋体" w:cs="Times New Roman"/>
          <w:sz w:val="24"/>
          <w:szCs w:val="24"/>
          <w:lang w:eastAsia="zh-CN"/>
        </w:rPr>
        <w:t>总量控制指标建议为：</w:t>
      </w:r>
      <w:r>
        <w:rPr>
          <w:rFonts w:hint="eastAsia"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sz w:val="24"/>
          <w:szCs w:val="24"/>
          <w:highlight w:val="none"/>
          <w:lang w:val="en-US" w:eastAsia="zh-CN"/>
        </w:rPr>
        <w:t>0t/a、氨氮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lang w:eastAsia="zh-CN"/>
        </w:rPr>
        <w:t>二氧化硫</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氮氧化物</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058</w:t>
      </w:r>
      <w:r>
        <w:rPr>
          <w:rFonts w:hint="default" w:ascii="Times New Roman" w:hAnsi="Times New Roman" w:eastAsia="宋体" w:cs="Times New Roman"/>
          <w:color w:val="auto"/>
          <w:sz w:val="24"/>
          <w:szCs w:val="24"/>
          <w:highlight w:val="none"/>
          <w:lang w:val="en-US" w:eastAsia="zh-CN"/>
        </w:rPr>
        <w:t>t/a；颗粒物：0.0</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eastAsia"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sz w:val="24"/>
          <w:szCs w:val="24"/>
          <w:highlight w:val="none"/>
          <w:lang w:val="en-US" w:eastAsia="zh-CN"/>
        </w:rPr>
        <w:t>0t/a、氨氮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lang w:eastAsia="zh-CN"/>
        </w:rPr>
        <w:t>二氧化硫</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003</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氮氧化物</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050</w:t>
      </w:r>
      <w:r>
        <w:rPr>
          <w:rFonts w:hint="default" w:ascii="Times New Roman" w:hAnsi="Times New Roman" w:eastAsia="宋体" w:cs="Times New Roman"/>
          <w:color w:val="auto"/>
          <w:sz w:val="24"/>
          <w:szCs w:val="24"/>
          <w:highlight w:val="none"/>
          <w:lang w:val="en-US" w:eastAsia="zh-CN"/>
        </w:rPr>
        <w:t>t/a；颗粒物：0.0</w:t>
      </w:r>
      <w:r>
        <w:rPr>
          <w:rFonts w:hint="eastAsia"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sz w:val="24"/>
          <w:szCs w:val="24"/>
          <w:lang w:val="en-US" w:eastAsia="zh-CN"/>
        </w:rPr>
        <w:t>。</w:t>
      </w:r>
      <w:r>
        <w:rPr>
          <w:rFonts w:hint="default" w:ascii="Times New Roman" w:hAnsi="Times New Roman" w:eastAsia="宋体" w:cs="Times New Roman"/>
          <w:color w:val="auto"/>
          <w:sz w:val="24"/>
          <w:szCs w:val="24"/>
          <w:lang w:eastAsia="zh-CN"/>
        </w:rPr>
        <w:t>满足环评中总量控制要求</w:t>
      </w:r>
      <w:r>
        <w:rPr>
          <w:rFonts w:hint="eastAsia" w:ascii="Times New Roman" w:hAnsi="Times New Roman" w:eastAsia="宋体" w:cs="Times New Roman"/>
          <w:sz w:val="24"/>
          <w:szCs w:val="24"/>
          <w:lang w:val="en-US" w:eastAsia="zh-CN"/>
        </w:rPr>
        <w:t>。满足环评中总量控制要求</w:t>
      </w:r>
      <w:r>
        <w:rPr>
          <w:rFonts w:hint="eastAsia"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沧州环澳玻璃制品有限公司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412705194"/>
      <w:bookmarkStart w:id="111" w:name="_Toc504325381"/>
      <w:bookmarkStart w:id="112" w:name="_Toc294178076"/>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504325382"/>
      <w:bookmarkStart w:id="115" w:name="_Toc294178077"/>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沧州环澳玻璃制品有限公司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2705196"/>
      <w:bookmarkStart w:id="120" w:name="_Toc504325383"/>
      <w:bookmarkStart w:id="121" w:name="_Toc414220602"/>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w:t>
      </w:r>
      <w:r>
        <w:rPr>
          <w:rFonts w:hint="default" w:ascii="Times New Roman" w:hAnsi="Times New Roman" w:cs="Times New Roman"/>
          <w:color w:val="auto"/>
          <w:spacing w:val="-2"/>
          <w:sz w:val="24"/>
          <w:lang w:val="en-US" w:eastAsia="zh-CN"/>
        </w:rPr>
        <w:t>目</w:t>
      </w:r>
      <w:r>
        <w:rPr>
          <w:rFonts w:hint="default" w:ascii="Times New Roman" w:hAnsi="Times New Roman" w:eastAsia="宋体" w:cs="Times New Roman"/>
          <w:color w:val="auto"/>
          <w:spacing w:val="-2"/>
          <w:sz w:val="24"/>
          <w:szCs w:val="24"/>
          <w:lang w:val="en-US" w:eastAsia="zh-CN"/>
        </w:rPr>
        <w:t>退火炉工序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废气由15m高排气筒排放，颗粒物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79</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烟气黑度＜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1级，均满足</w:t>
      </w:r>
      <w:r>
        <w:rPr>
          <w:rFonts w:hint="default" w:ascii="Times New Roman" w:hAnsi="Times New Roman" w:eastAsia="宋体" w:cs="Times New Roman"/>
          <w:color w:val="000000" w:themeColor="text1"/>
          <w:sz w:val="24"/>
          <w:szCs w:val="24"/>
          <w14:textFill>
            <w14:solidFill>
              <w14:schemeClr w14:val="tx1"/>
            </w14:solidFill>
          </w14:textFill>
        </w:rPr>
        <w:t>《工业炉窑大气污染物排放标准》（DB13/1640-2012）表1工业炉窑颗粒物排放限值</w:t>
      </w:r>
      <w:r>
        <w:rPr>
          <w:rFonts w:hint="default" w:ascii="Times New Roman" w:hAnsi="Times New Roman" w:eastAsia="宋体" w:cs="Times New Roman"/>
          <w:color w:val="000000" w:themeColor="text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z w:val="24"/>
          <w:szCs w:val="24"/>
          <w14:textFill>
            <w14:solidFill>
              <w14:schemeClr w14:val="tx1"/>
            </w14:solidFill>
          </w14:textFill>
        </w:rPr>
        <w:t>新建炉窑</w:t>
      </w:r>
      <w:r>
        <w:rPr>
          <w:rFonts w:hint="default" w:ascii="Times New Roman" w:hAnsi="Times New Roman" w:eastAsia="宋体" w:cs="Times New Roman"/>
          <w:color w:val="000000" w:themeColor="text1"/>
          <w:sz w:val="24"/>
          <w:szCs w:val="24"/>
          <w:lang w:eastAsia="zh-CN"/>
          <w14:textFill>
            <w14:solidFill>
              <w14:schemeClr w14:val="tx1"/>
            </w14:solidFill>
          </w14:textFill>
        </w:rPr>
        <w:t>排放浓度限值、</w:t>
      </w:r>
      <w:r>
        <w:rPr>
          <w:rFonts w:hint="default" w:ascii="Times New Roman" w:hAnsi="Times New Roman" w:eastAsia="宋体" w:cs="Times New Roman"/>
          <w:color w:val="000000" w:themeColor="text1"/>
          <w:sz w:val="24"/>
          <w:szCs w:val="24"/>
          <w14:textFill>
            <w14:solidFill>
              <w14:schemeClr w14:val="tx1"/>
            </w14:solidFill>
          </w14:textFill>
        </w:rPr>
        <w:t>表2工业炉窑有害污染物排放限值</w:t>
      </w:r>
      <w:r>
        <w:rPr>
          <w:rFonts w:hint="default" w:ascii="Times New Roman" w:hAnsi="Times New Roman" w:eastAsia="宋体" w:cs="Times New Roman"/>
          <w:color w:val="000000" w:themeColor="text1"/>
          <w:sz w:val="24"/>
          <w:szCs w:val="24"/>
          <w:lang w:eastAsia="zh-CN"/>
          <w14:textFill>
            <w14:solidFill>
              <w14:schemeClr w14:val="tx1"/>
            </w14:solidFill>
          </w14:textFill>
        </w:rPr>
        <w:t>中</w:t>
      </w:r>
      <w:r>
        <w:rPr>
          <w:rFonts w:hint="default" w:ascii="Times New Roman" w:hAnsi="Times New Roman" w:eastAsia="宋体" w:cs="Times New Roman"/>
          <w:color w:val="000000" w:themeColor="text1"/>
          <w:sz w:val="24"/>
          <w:szCs w:val="24"/>
          <w14:textFill>
            <w14:solidFill>
              <w14:schemeClr w14:val="tx1"/>
            </w14:solidFill>
          </w14:textFill>
        </w:rPr>
        <w:t>新建炉窑排放浓度限值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400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400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，烟气黑度＜</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1级</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14:textFill>
            <w14:solidFill>
              <w14:schemeClr w14:val="tx1"/>
            </w14:solidFill>
          </w14:textFill>
        </w:rPr>
        <w:t>《关于印发&lt;工业炉窑大气污染综合治理方案&gt;的通知》（环大气[2019]56号）中工业炉窑污染物排放限值要求</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7.2.2无组织废气检测结果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color w:val="auto"/>
          <w:sz w:val="24"/>
          <w:szCs w:val="24"/>
        </w:rPr>
        <w:t>无组织颗粒物最高排放</w:t>
      </w:r>
      <w:r>
        <w:rPr>
          <w:rFonts w:hint="default" w:ascii="Times New Roman" w:hAnsi="Times New Roman" w:eastAsia="宋体" w:cs="Times New Roman"/>
          <w:color w:val="auto"/>
          <w:sz w:val="24"/>
          <w:szCs w:val="24"/>
          <w:lang w:eastAsia="zh-CN"/>
        </w:rPr>
        <w:t>监控</w:t>
      </w:r>
      <w:r>
        <w:rPr>
          <w:rFonts w:hint="default" w:ascii="Times New Roman" w:hAnsi="Times New Roman" w:eastAsia="宋体" w:cs="Times New Roman"/>
          <w:color w:val="auto"/>
          <w:sz w:val="24"/>
          <w:szCs w:val="24"/>
        </w:rPr>
        <w:t>浓度为0.5</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二氧化硫</w:t>
      </w:r>
      <w:r>
        <w:rPr>
          <w:rFonts w:hint="default" w:ascii="Times New Roman" w:hAnsi="Times New Roman" w:eastAsia="宋体" w:cs="Times New Roman"/>
          <w:color w:val="auto"/>
          <w:sz w:val="24"/>
          <w:szCs w:val="24"/>
        </w:rPr>
        <w:t>最高排放</w:t>
      </w:r>
      <w:r>
        <w:rPr>
          <w:rFonts w:hint="default" w:ascii="Times New Roman" w:hAnsi="Times New Roman" w:eastAsia="宋体" w:cs="Times New Roman"/>
          <w:color w:val="auto"/>
          <w:sz w:val="24"/>
          <w:szCs w:val="24"/>
          <w:lang w:eastAsia="zh-CN"/>
        </w:rPr>
        <w:t>监控</w:t>
      </w:r>
      <w:r>
        <w:rPr>
          <w:rFonts w:hint="default" w:ascii="Times New Roman" w:hAnsi="Times New Roman" w:eastAsia="宋体" w:cs="Times New Roman"/>
          <w:color w:val="auto"/>
          <w:sz w:val="24"/>
          <w:szCs w:val="24"/>
        </w:rPr>
        <w:t>浓度为0.</w:t>
      </w:r>
      <w:r>
        <w:rPr>
          <w:rFonts w:hint="default" w:ascii="Times New Roman" w:hAnsi="Times New Roman" w:eastAsia="宋体" w:cs="Times New Roman"/>
          <w:color w:val="auto"/>
          <w:sz w:val="24"/>
          <w:szCs w:val="24"/>
          <w:lang w:val="en-US" w:eastAsia="zh-CN"/>
        </w:rPr>
        <w:t>128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氮氧化物</w:t>
      </w:r>
      <w:r>
        <w:rPr>
          <w:rFonts w:hint="default" w:ascii="Times New Roman" w:hAnsi="Times New Roman" w:eastAsia="宋体" w:cs="Times New Roman"/>
          <w:color w:val="auto"/>
          <w:sz w:val="24"/>
          <w:szCs w:val="24"/>
        </w:rPr>
        <w:t>最高排放</w:t>
      </w:r>
      <w:r>
        <w:rPr>
          <w:rFonts w:hint="default" w:ascii="Times New Roman" w:hAnsi="Times New Roman" w:eastAsia="宋体" w:cs="Times New Roman"/>
          <w:color w:val="auto"/>
          <w:sz w:val="24"/>
          <w:szCs w:val="24"/>
          <w:lang w:eastAsia="zh-CN"/>
        </w:rPr>
        <w:t>监控</w:t>
      </w:r>
      <w:r>
        <w:rPr>
          <w:rFonts w:hint="default" w:ascii="Times New Roman" w:hAnsi="Times New Roman" w:eastAsia="宋体" w:cs="Times New Roman"/>
          <w:color w:val="auto"/>
          <w:sz w:val="24"/>
          <w:szCs w:val="24"/>
        </w:rPr>
        <w:t>浓度为0.</w:t>
      </w:r>
      <w:r>
        <w:rPr>
          <w:rFonts w:hint="default" w:ascii="Times New Roman" w:hAnsi="Times New Roman" w:eastAsia="宋体" w:cs="Times New Roman"/>
          <w:color w:val="auto"/>
          <w:sz w:val="24"/>
          <w:szCs w:val="24"/>
          <w:lang w:val="en-US" w:eastAsia="zh-CN"/>
        </w:rPr>
        <w:t>080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rPr>
        <w:t>满足《大气污染物综合排放标准》（GB16297-1996）表2新污染源大气污染物排放限值中无组织排放监控浓度限值（颗粒物：1.0mg/m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，二氧化硫：</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0.40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，氮氧化物：</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0.12</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经检测，该项目厂界北、东、南、西方向各设1个监测点位，厂界南侧、东侧、西侧各点位昼间噪声测量值，均满足《工业企业厂界环境噪声排放标准》          （GB 12348-2008）表1中2类标准限值（昼间：60dB（A））；厂界北侧昼间噪声测量值，满足《工业企业厂界环境噪声排放标准》（GB 12348-2008）表1中1类标准限值（昼间：55dB（A））。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7"/>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项目磨口工序用水循环使用，不外排；清洗工序废水产生量少，水质简单，暂存于储水池，用于厂区泼洒抑尘，不外排；职工盥洗废水用于厂内泼洒抑尘，厂内设防渗旱厕，定期清掏，不外排</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lang w:val="en-US" w:eastAsia="zh-CN"/>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本项目运营期产生固体废物包括生产过程产生的玻璃下脚料，检验工序产生的不合格品，生活垃圾。生产过程产生的玻璃下脚料、检验工序产生不合格品，分别收集后外售；生活垃圾集中收集后交环卫部门清运处理。</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项目污染物</w:t>
      </w:r>
      <w:r>
        <w:rPr>
          <w:rFonts w:hint="default" w:ascii="Times New Roman" w:hAnsi="Times New Roman" w:eastAsia="宋体" w:cs="Times New Roman"/>
          <w:sz w:val="24"/>
          <w:szCs w:val="24"/>
          <w:lang w:eastAsia="zh-CN"/>
        </w:rPr>
        <w:t>总量控制指标建议为：</w:t>
      </w:r>
      <w:r>
        <w:rPr>
          <w:rFonts w:hint="eastAsia"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sz w:val="24"/>
          <w:szCs w:val="24"/>
          <w:highlight w:val="none"/>
          <w:lang w:val="en-US" w:eastAsia="zh-CN"/>
        </w:rPr>
        <w:t>0t/a、氨氮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lang w:eastAsia="zh-CN"/>
        </w:rPr>
        <w:t>二氧化硫</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039</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氮氧化物</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058</w:t>
      </w:r>
      <w:r>
        <w:rPr>
          <w:rFonts w:hint="default" w:ascii="Times New Roman" w:hAnsi="Times New Roman" w:eastAsia="宋体" w:cs="Times New Roman"/>
          <w:color w:val="auto"/>
          <w:sz w:val="24"/>
          <w:szCs w:val="24"/>
          <w:highlight w:val="none"/>
          <w:lang w:val="en-US" w:eastAsia="zh-CN"/>
        </w:rPr>
        <w:t>t/a；颗粒物：0.0</w:t>
      </w:r>
      <w:r>
        <w:rPr>
          <w:rFonts w:hint="eastAsia"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w:t>
      </w:r>
      <w:r>
        <w:rPr>
          <w:rFonts w:hint="eastAsia"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sz w:val="24"/>
          <w:szCs w:val="24"/>
          <w:highlight w:val="none"/>
          <w:lang w:val="en-US" w:eastAsia="zh-CN"/>
        </w:rPr>
        <w:t>0t/a、氨氮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0t/a</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sz w:val="24"/>
          <w:szCs w:val="24"/>
          <w:lang w:eastAsia="zh-CN"/>
        </w:rPr>
        <w:t>二氧化硫</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003</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氮氧化物</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050</w:t>
      </w:r>
      <w:r>
        <w:rPr>
          <w:rFonts w:hint="default" w:ascii="Times New Roman" w:hAnsi="Times New Roman" w:eastAsia="宋体" w:cs="Times New Roman"/>
          <w:color w:val="auto"/>
          <w:sz w:val="24"/>
          <w:szCs w:val="24"/>
          <w:highlight w:val="none"/>
          <w:lang w:val="en-US" w:eastAsia="zh-CN"/>
        </w:rPr>
        <w:t>t/a；颗粒物：0.0</w:t>
      </w:r>
      <w:r>
        <w:rPr>
          <w:rFonts w:hint="eastAsia"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sz w:val="24"/>
          <w:szCs w:val="24"/>
          <w:lang w:val="en-US" w:eastAsia="zh-CN"/>
        </w:rPr>
        <w:t>。</w:t>
      </w:r>
      <w:r>
        <w:rPr>
          <w:rFonts w:hint="default" w:ascii="Times New Roman" w:hAnsi="Times New Roman" w:eastAsia="宋体" w:cs="Times New Roman"/>
          <w:color w:val="auto"/>
          <w:sz w:val="24"/>
          <w:szCs w:val="24"/>
          <w:lang w:eastAsia="zh-CN"/>
        </w:rPr>
        <w:t>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7"/>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drawing>
          <wp:anchor distT="0" distB="0" distL="114300" distR="114300" simplePos="0" relativeHeight="251664384" behindDoc="0" locked="0" layoutInCell="1" allowOverlap="1">
            <wp:simplePos x="0" y="0"/>
            <wp:positionH relativeFrom="column">
              <wp:posOffset>-956310</wp:posOffset>
            </wp:positionH>
            <wp:positionV relativeFrom="paragraph">
              <wp:posOffset>1795145</wp:posOffset>
            </wp:positionV>
            <wp:extent cx="8336280" cy="5706110"/>
            <wp:effectExtent l="0" t="0" r="8890" b="0"/>
            <wp:wrapTopAndBottom/>
            <wp:docPr id="14" name="图片 14" descr="166573627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5736277054"/>
                    <pic:cNvPicPr>
                      <a:picLocks noChangeAspect="1"/>
                    </pic:cNvPicPr>
                  </pic:nvPicPr>
                  <pic:blipFill>
                    <a:blip r:embed="rId13"/>
                    <a:stretch>
                      <a:fillRect/>
                    </a:stretch>
                  </pic:blipFill>
                  <pic:spPr>
                    <a:xfrm rot="16200000">
                      <a:off x="0" y="0"/>
                      <a:ext cx="8336280" cy="5706110"/>
                    </a:xfrm>
                    <a:prstGeom prst="rect">
                      <a:avLst/>
                    </a:prstGeom>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8486140" cy="4425315"/>
            <wp:effectExtent l="0" t="0" r="9525" b="2540"/>
            <wp:docPr id="7" name="图片 7" descr="166573059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5730593001"/>
                    <pic:cNvPicPr>
                      <a:picLocks noChangeAspect="1"/>
                    </pic:cNvPicPr>
                  </pic:nvPicPr>
                  <pic:blipFill>
                    <a:blip r:embed="rId14"/>
                    <a:srcRect/>
                    <a:stretch>
                      <a:fillRect/>
                    </a:stretch>
                  </pic:blipFill>
                  <pic:spPr>
                    <a:xfrm rot="16200000">
                      <a:off x="0" y="0"/>
                      <a:ext cx="8486140" cy="4425315"/>
                    </a:xfrm>
                    <a:prstGeom prst="rect">
                      <a:avLst/>
                    </a:prstGeom>
                  </pic:spPr>
                </pic:pic>
              </a:graphicData>
            </a:graphic>
          </wp:inline>
        </w:drawing>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3779520" cy="5859780"/>
            <wp:effectExtent l="0" t="0" r="0" b="7620"/>
            <wp:docPr id="8" name="图片 8" descr="166573072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5730725949"/>
                    <pic:cNvPicPr>
                      <a:picLocks noChangeAspect="1"/>
                    </pic:cNvPicPr>
                  </pic:nvPicPr>
                  <pic:blipFill>
                    <a:blip r:embed="rId15"/>
                    <a:stretch>
                      <a:fillRect/>
                    </a:stretch>
                  </pic:blipFill>
                  <pic:spPr>
                    <a:xfrm>
                      <a:off x="0" y="0"/>
                      <a:ext cx="3779520" cy="5859780"/>
                    </a:xfrm>
                    <a:prstGeom prst="rect">
                      <a:avLst/>
                    </a:prstGeom>
                  </pic:spPr>
                </pic:pic>
              </a:graphicData>
            </a:graphic>
          </wp:inline>
        </w:drawing>
      </w:r>
      <w:bookmarkStart w:id="128" w:name="_GoBack"/>
      <w:bookmarkEnd w:id="128"/>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7"/>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7"/>
        <w:jc w:val="center"/>
        <w:rPr>
          <w:rFonts w:hint="eastAsia" w:eastAsiaTheme="minorEastAsia"/>
          <w:lang w:eastAsia="zh-CN"/>
        </w:rPr>
      </w:pPr>
      <w:r>
        <w:rPr>
          <w:rFonts w:hint="eastAsia" w:eastAsiaTheme="minorEastAsia"/>
          <w:lang w:eastAsia="zh-CN"/>
        </w:rPr>
        <w:drawing>
          <wp:inline distT="0" distB="0" distL="114300" distR="114300">
            <wp:extent cx="5260975" cy="7353935"/>
            <wp:effectExtent l="0" t="0" r="12065" b="6985"/>
            <wp:docPr id="4" name="图片 4" descr="71e45839fff6a74ee2bbb94712f8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1e45839fff6a74ee2bbb94712f8a1d"/>
                    <pic:cNvPicPr>
                      <a:picLocks noChangeAspect="1"/>
                    </pic:cNvPicPr>
                  </pic:nvPicPr>
                  <pic:blipFill>
                    <a:blip r:embed="rId16"/>
                    <a:stretch>
                      <a:fillRect/>
                    </a:stretch>
                  </pic:blipFill>
                  <pic:spPr>
                    <a:xfrm>
                      <a:off x="0" y="0"/>
                      <a:ext cx="5260975" cy="7353935"/>
                    </a:xfrm>
                    <a:prstGeom prst="rect">
                      <a:avLst/>
                    </a:prstGeom>
                  </pic:spPr>
                </pic:pic>
              </a:graphicData>
            </a:graphic>
          </wp:inline>
        </w:drawing>
      </w:r>
      <w:r>
        <w:rPr>
          <w:rFonts w:hint="eastAsia" w:eastAsiaTheme="minorEastAsia"/>
          <w:lang w:eastAsia="zh-CN"/>
        </w:rPr>
        <w:drawing>
          <wp:inline distT="0" distB="0" distL="114300" distR="114300">
            <wp:extent cx="5263515" cy="7490460"/>
            <wp:effectExtent l="0" t="0" r="9525" b="7620"/>
            <wp:docPr id="11" name="图片 11" descr="2dfe871bbea9a4360b9d6dd7bd3d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fe871bbea9a4360b9d6dd7bd3d452"/>
                    <pic:cNvPicPr>
                      <a:picLocks noChangeAspect="1"/>
                    </pic:cNvPicPr>
                  </pic:nvPicPr>
                  <pic:blipFill>
                    <a:blip r:embed="rId17"/>
                    <a:stretch>
                      <a:fillRect/>
                    </a:stretch>
                  </pic:blipFill>
                  <pic:spPr>
                    <a:xfrm>
                      <a:off x="0" y="0"/>
                      <a:ext cx="5263515" cy="7490460"/>
                    </a:xfrm>
                    <a:prstGeom prst="rect">
                      <a:avLst/>
                    </a:prstGeom>
                  </pic:spPr>
                </pic:pic>
              </a:graphicData>
            </a:graphic>
          </wp:inline>
        </w:drawing>
      </w:r>
    </w:p>
    <w:p>
      <w:pPr>
        <w:pStyle w:val="7"/>
        <w:jc w:val="center"/>
        <w:rPr>
          <w:rFonts w:hint="eastAsia" w:eastAsiaTheme="minorEastAsia"/>
          <w:lang w:eastAsia="zh-CN"/>
        </w:rPr>
      </w:pPr>
    </w:p>
    <w:p>
      <w:pPr>
        <w:pStyle w:val="7"/>
        <w:jc w:val="center"/>
        <w:rPr>
          <w:rFonts w:hint="eastAsia" w:eastAsiaTheme="minorEastAsia"/>
          <w:lang w:eastAsia="zh-CN"/>
        </w:rPr>
      </w:pPr>
    </w:p>
    <w:p>
      <w:pPr>
        <w:pStyle w:val="7"/>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7"/>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3360" behindDoc="0" locked="0" layoutInCell="1" allowOverlap="1">
            <wp:simplePos x="0" y="0"/>
            <wp:positionH relativeFrom="column">
              <wp:posOffset>-452755</wp:posOffset>
            </wp:positionH>
            <wp:positionV relativeFrom="paragraph">
              <wp:posOffset>1504950</wp:posOffset>
            </wp:positionV>
            <wp:extent cx="7401560" cy="5207635"/>
            <wp:effectExtent l="0" t="0" r="4445" b="5080"/>
            <wp:wrapTopAndBottom/>
            <wp:docPr id="12" name="图片 12" descr="01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营业执照"/>
                    <pic:cNvPicPr>
                      <a:picLocks noChangeAspect="1"/>
                    </pic:cNvPicPr>
                  </pic:nvPicPr>
                  <pic:blipFill>
                    <a:blip r:embed="rId18"/>
                    <a:stretch>
                      <a:fillRect/>
                    </a:stretch>
                  </pic:blipFill>
                  <pic:spPr>
                    <a:xfrm rot="16200000">
                      <a:off x="0" y="0"/>
                      <a:ext cx="7401560" cy="5207635"/>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7"/>
        <w:jc w:val="both"/>
        <w:rPr>
          <w:rFonts w:hint="default" w:ascii="Times New Roman" w:hAnsi="Times New Roman" w:eastAsia="宋体" w:cs="Times New Roman"/>
          <w:b/>
          <w:sz w:val="30"/>
          <w:szCs w:val="30"/>
          <w:lang w:eastAsia="zh-CN"/>
        </w:rPr>
      </w:pPr>
    </w:p>
    <w:p>
      <w:pPr>
        <w:pStyle w:val="7"/>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沧州环澳玻璃制品有限公司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工艺玻璃茶具新建项目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河北省沧州市河间市兴村镇杨头村西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C3054 日用玻璃制品制造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2280285</wp:posOffset>
                      </wp:positionH>
                      <wp:positionV relativeFrom="paragraph">
                        <wp:posOffset>67310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9.55pt;margin-top:5.3pt;height:5.6pt;width:5.25pt;z-index:251660288;v-text-anchor:middle;mso-width-relative:page;mso-height-relative:page;" fillcolor="#FFFFFF [3212]" filled="t" stroked="t" coordsize="21600,21600" o:gfxdata="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BZrmTWAAAACA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61595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8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1503045</wp:posOffset>
                      </wp:positionH>
                      <wp:positionV relativeFrom="paragraph">
                        <wp:posOffset>65405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35pt;margin-top:5.15pt;height:5.6pt;width:5.25pt;z-index:251661312;v-text-anchor:middle;mso-width-relative:page;mso-height-relative:page;" fillcolor="#000000 [3213]" filled="t" stroked="t" coordsize="21600,21600" o:gfxdata="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cbSt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年产工艺玻璃茶具100万个</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年产工艺玻璃茶具100万个</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河环表[2022]（06-19）号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沧州环澳玻璃制品有限公司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91130984MA7D8B7MXF</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default"/>
                <w:b/>
                <w:bCs w:val="0"/>
                <w:sz w:val="15"/>
                <w:szCs w:val="15"/>
                <w:lang w:val="en-US" w:eastAsia="zh-CN"/>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90</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kern w:val="2"/>
                <w:sz w:val="15"/>
                <w:szCs w:val="15"/>
                <w:lang w:val="en-US" w:eastAsia="zh-CN" w:bidi="ar-SA"/>
              </w:rPr>
              <w:t>90</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颗粒物</w:t>
            </w:r>
          </w:p>
        </w:tc>
        <w:tc>
          <w:tcPr>
            <w:tcW w:w="85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eastAsia="宋体" w:asciiTheme="minorHAnsi" w:hAnsiTheme="minorHAnsi"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2.7</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30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0.002</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0.002</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二氧化硫</w:t>
            </w:r>
          </w:p>
        </w:tc>
        <w:tc>
          <w:tcPr>
            <w:tcW w:w="85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eastAsia="宋体" w:asciiTheme="minorHAnsi" w:hAnsiTheme="minorHAnsi"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7</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200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0.003</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0.003</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氮氧化物</w:t>
            </w:r>
          </w:p>
        </w:tc>
        <w:tc>
          <w:tcPr>
            <w:tcW w:w="85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heme="minorHAnsi" w:hAnsiTheme="minorHAnsi" w:eastAsiaTheme="minorEastAsia"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79</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300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0.050</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r>
              <w:rPr>
                <w:rFonts w:hint="eastAsia" w:ascii="Times New Roman" w:hAnsi="Times New Roman" w:cs="Times New Roman"/>
                <w:b/>
                <w:bCs w:val="0"/>
                <w:sz w:val="15"/>
                <w:szCs w:val="15"/>
                <w:lang w:val="en-US" w:eastAsia="zh-CN"/>
              </w:rPr>
              <w:t>0.050</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eastAsia"/>
                <w:b/>
                <w:bCs w:val="0"/>
                <w:sz w:val="15"/>
                <w:szCs w:val="15"/>
                <w:lang w:val="en-US" w:eastAsia="zh-CN"/>
              </w:rPr>
              <w:t>非甲烷总烃</w:t>
            </w:r>
          </w:p>
        </w:tc>
        <w:tc>
          <w:tcPr>
            <w:tcW w:w="85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eastAsia="宋体" w:asciiTheme="minorHAnsi" w:hAnsiTheme="minorHAnsi" w:cstheme="minorBidi"/>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b/>
                <w:bCs w:val="0"/>
                <w:sz w:val="15"/>
                <w:szCs w:val="15"/>
                <w:lang w:val="en-US" w:eastAsia="zh-CN"/>
              </w:rPr>
            </w:pPr>
            <w:r>
              <w:rPr>
                <w:rFonts w:hint="default"/>
                <w:b/>
                <w:bCs w:val="0"/>
                <w:sz w:val="15"/>
                <w:szCs w:val="15"/>
                <w:lang w:val="en-US" w:eastAsia="zh-CN"/>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甲醛</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cs="Times New Roman" w:eastAsiaTheme="minorEastAsia"/>
                <w:b/>
                <w:bCs w:val="0"/>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en-US"/>
      </w:rPr>
    </w:pPr>
    <w:r>
      <w:rPr>
        <w:rFonts w:hint="eastAsia" w:ascii="Times New Roman" w:hAnsi="Times New Roman" w:eastAsia="宋体" w:cs="Times New Roman"/>
        <w:color w:val="000000"/>
        <w:szCs w:val="21"/>
        <w:lang w:val="en-US" w:eastAsia="zh-CN"/>
      </w:rPr>
      <w:t>沧州环澳玻璃制品有限公司工艺玻璃茶具新建项目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xZjAzN2I1ZDU0OTc4ZGQxMmM5YTE4Y2Q1NTBkMTg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07598"/>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23F6C"/>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BD6586"/>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67990"/>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66E1B"/>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4F13E7"/>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52816"/>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404EB"/>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238E6"/>
    <w:rsid w:val="19571B1A"/>
    <w:rsid w:val="1958764A"/>
    <w:rsid w:val="196204A5"/>
    <w:rsid w:val="196952AB"/>
    <w:rsid w:val="196C5FAC"/>
    <w:rsid w:val="196D097D"/>
    <w:rsid w:val="196E4C5D"/>
    <w:rsid w:val="19715C96"/>
    <w:rsid w:val="19885BE7"/>
    <w:rsid w:val="19905C83"/>
    <w:rsid w:val="19924AEA"/>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B43A8"/>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F7353"/>
    <w:rsid w:val="21525D6B"/>
    <w:rsid w:val="217760A5"/>
    <w:rsid w:val="218139C8"/>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B3CAA"/>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2E71AF"/>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92DFC"/>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1950F6"/>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B85615"/>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C5A0E"/>
    <w:rsid w:val="40BF2FB2"/>
    <w:rsid w:val="40BF56B4"/>
    <w:rsid w:val="40C50230"/>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A2100"/>
    <w:rsid w:val="416D45B6"/>
    <w:rsid w:val="417803D7"/>
    <w:rsid w:val="417C6281"/>
    <w:rsid w:val="41833A5A"/>
    <w:rsid w:val="41850103"/>
    <w:rsid w:val="418523ED"/>
    <w:rsid w:val="41926AF4"/>
    <w:rsid w:val="419A53F7"/>
    <w:rsid w:val="419D6C46"/>
    <w:rsid w:val="419F4F1F"/>
    <w:rsid w:val="41A366E6"/>
    <w:rsid w:val="41A422DF"/>
    <w:rsid w:val="41AA40E2"/>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AD2778"/>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72572E"/>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5F46A5A"/>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7B5034"/>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131F5"/>
    <w:rsid w:val="49873BD4"/>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80C69"/>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1F21AD"/>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B23556"/>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9A62A6"/>
    <w:rsid w:val="4FA84F42"/>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5383E"/>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5E5D36"/>
    <w:rsid w:val="58676F42"/>
    <w:rsid w:val="586C3829"/>
    <w:rsid w:val="588732D9"/>
    <w:rsid w:val="588A3835"/>
    <w:rsid w:val="588F7916"/>
    <w:rsid w:val="5891099B"/>
    <w:rsid w:val="58913FBE"/>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22E1"/>
    <w:rsid w:val="5C79454C"/>
    <w:rsid w:val="5C7A2D0C"/>
    <w:rsid w:val="5C7A7BF4"/>
    <w:rsid w:val="5C851DB4"/>
    <w:rsid w:val="5C905C78"/>
    <w:rsid w:val="5C9E4861"/>
    <w:rsid w:val="5CA37EF3"/>
    <w:rsid w:val="5CA53EFD"/>
    <w:rsid w:val="5CAF70F0"/>
    <w:rsid w:val="5CB248C0"/>
    <w:rsid w:val="5CB90818"/>
    <w:rsid w:val="5CC45145"/>
    <w:rsid w:val="5CE42BA3"/>
    <w:rsid w:val="5CE66607"/>
    <w:rsid w:val="5CE66F88"/>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064E7"/>
    <w:rsid w:val="601226B0"/>
    <w:rsid w:val="602118F7"/>
    <w:rsid w:val="60211E1F"/>
    <w:rsid w:val="60245168"/>
    <w:rsid w:val="6031327A"/>
    <w:rsid w:val="60365A38"/>
    <w:rsid w:val="603B3FDB"/>
    <w:rsid w:val="603E3647"/>
    <w:rsid w:val="604010F4"/>
    <w:rsid w:val="604D518A"/>
    <w:rsid w:val="60553C4D"/>
    <w:rsid w:val="605807B8"/>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92217"/>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50236"/>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5967A0"/>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BF80185"/>
    <w:rsid w:val="6C0A6AC9"/>
    <w:rsid w:val="6C0B2D4A"/>
    <w:rsid w:val="6C0B47B1"/>
    <w:rsid w:val="6C0C54E9"/>
    <w:rsid w:val="6C157C2A"/>
    <w:rsid w:val="6C296569"/>
    <w:rsid w:val="6C2A6CE9"/>
    <w:rsid w:val="6C2B05CF"/>
    <w:rsid w:val="6C31592F"/>
    <w:rsid w:val="6C4838E8"/>
    <w:rsid w:val="6C622BC1"/>
    <w:rsid w:val="6C67455B"/>
    <w:rsid w:val="6C683D01"/>
    <w:rsid w:val="6C6F2600"/>
    <w:rsid w:val="6C7D7D98"/>
    <w:rsid w:val="6C8968BF"/>
    <w:rsid w:val="6C8B0873"/>
    <w:rsid w:val="6C8F4878"/>
    <w:rsid w:val="6C910912"/>
    <w:rsid w:val="6C914362"/>
    <w:rsid w:val="6C920376"/>
    <w:rsid w:val="6C967404"/>
    <w:rsid w:val="6C9A553D"/>
    <w:rsid w:val="6CA14387"/>
    <w:rsid w:val="6CAE091F"/>
    <w:rsid w:val="6CB552CE"/>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1774D"/>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74327"/>
    <w:rsid w:val="75891AEA"/>
    <w:rsid w:val="758A18AA"/>
    <w:rsid w:val="758B791F"/>
    <w:rsid w:val="75911551"/>
    <w:rsid w:val="75A327A3"/>
    <w:rsid w:val="75AF202F"/>
    <w:rsid w:val="75AF719E"/>
    <w:rsid w:val="75BF1CA9"/>
    <w:rsid w:val="75C4240E"/>
    <w:rsid w:val="75C440B3"/>
    <w:rsid w:val="75C512B1"/>
    <w:rsid w:val="75D32685"/>
    <w:rsid w:val="75DF7B1D"/>
    <w:rsid w:val="75E023B5"/>
    <w:rsid w:val="75EE088F"/>
    <w:rsid w:val="75F025ED"/>
    <w:rsid w:val="75FF6443"/>
    <w:rsid w:val="760115D8"/>
    <w:rsid w:val="760466E4"/>
    <w:rsid w:val="761A26B7"/>
    <w:rsid w:val="762454A4"/>
    <w:rsid w:val="7642754D"/>
    <w:rsid w:val="764444F1"/>
    <w:rsid w:val="764A7774"/>
    <w:rsid w:val="765D4AD1"/>
    <w:rsid w:val="765E4E18"/>
    <w:rsid w:val="766524E1"/>
    <w:rsid w:val="76653F89"/>
    <w:rsid w:val="766B694C"/>
    <w:rsid w:val="76760B44"/>
    <w:rsid w:val="76840AC7"/>
    <w:rsid w:val="76896901"/>
    <w:rsid w:val="768E5068"/>
    <w:rsid w:val="76991C80"/>
    <w:rsid w:val="76C400BA"/>
    <w:rsid w:val="76C46B5E"/>
    <w:rsid w:val="76C52B4B"/>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4115A"/>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17BE2"/>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CD4836"/>
    <w:rsid w:val="7CD65610"/>
    <w:rsid w:val="7CDE73E1"/>
    <w:rsid w:val="7CED1392"/>
    <w:rsid w:val="7CF74207"/>
    <w:rsid w:val="7CFB7376"/>
    <w:rsid w:val="7D13002B"/>
    <w:rsid w:val="7D2D13A8"/>
    <w:rsid w:val="7D2D6F2A"/>
    <w:rsid w:val="7D3126F3"/>
    <w:rsid w:val="7D35110B"/>
    <w:rsid w:val="7D37413C"/>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0"/>
    <w:qFormat/>
    <w:uiPriority w:val="0"/>
    <w:pPr>
      <w:spacing w:line="480" w:lineRule="atLeast"/>
      <w:outlineLvl w:val="0"/>
    </w:pPr>
    <w:rPr>
      <w:rFonts w:ascii="宋体" w:hAnsi="宋体" w:eastAsia="宋体"/>
      <w:b/>
      <w:sz w:val="30"/>
      <w:szCs w:val="30"/>
    </w:rPr>
  </w:style>
  <w:style w:type="paragraph" w:styleId="4">
    <w:name w:val="heading 2"/>
    <w:basedOn w:val="3"/>
    <w:next w:val="1"/>
    <w:link w:val="41"/>
    <w:qFormat/>
    <w:uiPriority w:val="0"/>
    <w:pPr>
      <w:outlineLvl w:val="1"/>
    </w:pPr>
    <w:rPr>
      <w:sz w:val="28"/>
    </w:rPr>
  </w:style>
  <w:style w:type="paragraph" w:styleId="5">
    <w:name w:val="heading 3"/>
    <w:basedOn w:val="1"/>
    <w:next w:val="1"/>
    <w:link w:val="42"/>
    <w:qFormat/>
    <w:uiPriority w:val="0"/>
    <w:pPr>
      <w:spacing w:line="480" w:lineRule="atLeast"/>
      <w:outlineLvl w:val="2"/>
    </w:pPr>
    <w:rPr>
      <w:rFonts w:ascii="宋体" w:hAnsi="宋体" w:eastAsia="宋体"/>
      <w:sz w:val="24"/>
      <w:szCs w:val="24"/>
    </w:rPr>
  </w:style>
  <w:style w:type="paragraph" w:styleId="6">
    <w:name w:val="heading 4"/>
    <w:basedOn w:val="1"/>
    <w:next w:val="7"/>
    <w:link w:val="4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47"/>
    <w:unhideWhenUsed/>
    <w:qFormat/>
    <w:uiPriority w:val="99"/>
    <w:pPr>
      <w:tabs>
        <w:tab w:val="center" w:pos="4153"/>
        <w:tab w:val="right" w:pos="8306"/>
      </w:tabs>
      <w:snapToGrid w:val="0"/>
      <w:jc w:val="left"/>
    </w:pPr>
    <w:rPr>
      <w:sz w:val="18"/>
      <w:szCs w:val="18"/>
    </w:rPr>
  </w:style>
  <w:style w:type="paragraph" w:styleId="7">
    <w:name w:val="Normal Indent"/>
    <w:basedOn w:val="1"/>
    <w:next w:val="6"/>
    <w:link w:val="69"/>
    <w:qFormat/>
    <w:uiPriority w:val="0"/>
    <w:pPr>
      <w:ind w:firstLine="420" w:firstLineChars="200"/>
    </w:pPr>
    <w:rPr>
      <w:rFonts w:eastAsia="宋体"/>
      <w:szCs w:val="24"/>
    </w:rPr>
  </w:style>
  <w:style w:type="paragraph" w:styleId="8">
    <w:name w:val="caption"/>
    <w:basedOn w:val="1"/>
    <w:next w:val="1"/>
    <w:link w:val="70"/>
    <w:qFormat/>
    <w:uiPriority w:val="0"/>
    <w:pPr>
      <w:jc w:val="center"/>
    </w:pPr>
    <w:rPr>
      <w:rFonts w:ascii="宋体" w:hAnsi="Arial" w:eastAsia="宋体" w:cs="Arial"/>
    </w:rPr>
  </w:style>
  <w:style w:type="paragraph" w:styleId="9">
    <w:name w:val="Document Map"/>
    <w:basedOn w:val="1"/>
    <w:link w:val="75"/>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2"/>
    <w:qFormat/>
    <w:uiPriority w:val="0"/>
    <w:pPr>
      <w:jc w:val="left"/>
    </w:pPr>
    <w:rPr>
      <w:szCs w:val="24"/>
    </w:rPr>
  </w:style>
  <w:style w:type="paragraph" w:styleId="11">
    <w:name w:val="Body Text 3"/>
    <w:basedOn w:val="1"/>
    <w:link w:val="74"/>
    <w:qFormat/>
    <w:uiPriority w:val="0"/>
    <w:pPr>
      <w:spacing w:after="120"/>
    </w:pPr>
    <w:rPr>
      <w:rFonts w:ascii="Times New Roman" w:hAnsi="Times New Roman" w:eastAsia="宋体" w:cs="Times New Roman"/>
      <w:sz w:val="16"/>
      <w:szCs w:val="16"/>
    </w:rPr>
  </w:style>
  <w:style w:type="paragraph" w:styleId="12">
    <w:name w:val="Body Text"/>
    <w:basedOn w:val="1"/>
    <w:next w:val="13"/>
    <w:link w:val="78"/>
    <w:qFormat/>
    <w:uiPriority w:val="0"/>
    <w:rPr>
      <w:rFonts w:ascii="Times New Roman" w:hAnsi="Times New Roman" w:eastAsia="宋体" w:cs="Times New Roman"/>
      <w:sz w:val="32"/>
      <w:szCs w:val="20"/>
    </w:rPr>
  </w:style>
  <w:style w:type="paragraph" w:styleId="13">
    <w:name w:val="List Bullet 5"/>
    <w:basedOn w:val="1"/>
    <w:semiHidden/>
    <w:unhideWhenUsed/>
    <w:qFormat/>
    <w:uiPriority w:val="99"/>
    <w:pPr>
      <w:numPr>
        <w:ilvl w:val="0"/>
        <w:numId w:val="1"/>
      </w:numPr>
    </w:pPr>
  </w:style>
  <w:style w:type="paragraph" w:styleId="14">
    <w:name w:val="Body Text Indent"/>
    <w:basedOn w:val="1"/>
    <w:link w:val="79"/>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2"/>
    <w:qFormat/>
    <w:uiPriority w:val="0"/>
    <w:rPr>
      <w:rFonts w:ascii="宋体" w:hAnsi="Courier New" w:eastAsia="宋体"/>
    </w:rPr>
  </w:style>
  <w:style w:type="paragraph" w:styleId="18">
    <w:name w:val="Date"/>
    <w:basedOn w:val="1"/>
    <w:next w:val="1"/>
    <w:link w:val="45"/>
    <w:unhideWhenUsed/>
    <w:qFormat/>
    <w:uiPriority w:val="0"/>
    <w:pPr>
      <w:ind w:left="100" w:leftChars="2500"/>
    </w:pPr>
  </w:style>
  <w:style w:type="paragraph" w:styleId="19">
    <w:name w:val="Body Text Indent 2"/>
    <w:basedOn w:val="1"/>
    <w:link w:val="82"/>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4"/>
    <w:unhideWhenUsed/>
    <w:qFormat/>
    <w:uiPriority w:val="0"/>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1"/>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3"/>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3"/>
    <w:qFormat/>
    <w:uiPriority w:val="0"/>
    <w:rPr>
      <w:b/>
      <w:bCs/>
    </w:rPr>
  </w:style>
  <w:style w:type="paragraph" w:styleId="30">
    <w:name w:val="Body Text First Indent"/>
    <w:basedOn w:val="12"/>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样式 正文文本 + 首行缩进:  2 字符"/>
    <w:basedOn w:val="12"/>
    <w:next w:val="1"/>
    <w:qFormat/>
    <w:uiPriority w:val="0"/>
    <w:pPr>
      <w:spacing w:line="480" w:lineRule="exact"/>
      <w:ind w:firstLine="480" w:firstLineChars="200"/>
    </w:pPr>
    <w:rPr>
      <w:rFonts w:ascii="宋体" w:hAnsi="宋体" w:eastAsia="宋体" w:cs="宋体"/>
      <w:sz w:val="24"/>
      <w:szCs w:val="20"/>
    </w:rPr>
  </w:style>
  <w:style w:type="character" w:customStyle="1" w:styleId="40">
    <w:name w:val="标题 1 Char"/>
    <w:basedOn w:val="33"/>
    <w:link w:val="3"/>
    <w:qFormat/>
    <w:uiPriority w:val="0"/>
    <w:rPr>
      <w:rFonts w:ascii="宋体" w:hAnsi="宋体" w:eastAsia="宋体"/>
      <w:b/>
      <w:sz w:val="30"/>
      <w:szCs w:val="30"/>
    </w:rPr>
  </w:style>
  <w:style w:type="character" w:customStyle="1" w:styleId="41">
    <w:name w:val="标题 2 Char"/>
    <w:basedOn w:val="33"/>
    <w:link w:val="4"/>
    <w:qFormat/>
    <w:uiPriority w:val="0"/>
    <w:rPr>
      <w:rFonts w:ascii="宋体" w:hAnsi="宋体" w:eastAsia="宋体"/>
      <w:b/>
      <w:sz w:val="28"/>
      <w:szCs w:val="30"/>
    </w:rPr>
  </w:style>
  <w:style w:type="character" w:customStyle="1" w:styleId="42">
    <w:name w:val="标题 3 Char"/>
    <w:basedOn w:val="33"/>
    <w:link w:val="5"/>
    <w:qFormat/>
    <w:uiPriority w:val="0"/>
    <w:rPr>
      <w:rFonts w:ascii="宋体" w:hAnsi="宋体" w:eastAsia="宋体"/>
      <w:sz w:val="24"/>
      <w:szCs w:val="24"/>
    </w:rPr>
  </w:style>
  <w:style w:type="character" w:customStyle="1" w:styleId="43">
    <w:name w:val="标题 4 Char"/>
    <w:basedOn w:val="33"/>
    <w:link w:val="6"/>
    <w:qFormat/>
    <w:uiPriority w:val="0"/>
    <w:rPr>
      <w:rFonts w:ascii="Arial" w:hAnsi="Arial" w:eastAsia="黑体" w:cs="Times New Roman"/>
      <w:b/>
      <w:bCs/>
      <w:sz w:val="28"/>
      <w:szCs w:val="28"/>
    </w:rPr>
  </w:style>
  <w:style w:type="character" w:customStyle="1" w:styleId="44">
    <w:name w:val="批注框文本 Char"/>
    <w:basedOn w:val="33"/>
    <w:link w:val="20"/>
    <w:qFormat/>
    <w:uiPriority w:val="0"/>
    <w:rPr>
      <w:sz w:val="18"/>
      <w:szCs w:val="18"/>
    </w:rPr>
  </w:style>
  <w:style w:type="character" w:customStyle="1" w:styleId="45">
    <w:name w:val="日期 Char"/>
    <w:basedOn w:val="33"/>
    <w:link w:val="18"/>
    <w:qFormat/>
    <w:uiPriority w:val="0"/>
  </w:style>
  <w:style w:type="character" w:customStyle="1" w:styleId="46">
    <w:name w:val="页眉 Char"/>
    <w:basedOn w:val="33"/>
    <w:link w:val="21"/>
    <w:qFormat/>
    <w:uiPriority w:val="0"/>
    <w:rPr>
      <w:sz w:val="18"/>
      <w:szCs w:val="18"/>
    </w:rPr>
  </w:style>
  <w:style w:type="character" w:customStyle="1" w:styleId="47">
    <w:name w:val="页脚 Char"/>
    <w:basedOn w:val="33"/>
    <w:link w:val="2"/>
    <w:qFormat/>
    <w:uiPriority w:val="99"/>
    <w:rPr>
      <w:sz w:val="18"/>
      <w:szCs w:val="18"/>
    </w:rPr>
  </w:style>
  <w:style w:type="character" w:customStyle="1" w:styleId="48">
    <w:name w:val="apple-converted-space"/>
    <w:basedOn w:val="33"/>
    <w:qFormat/>
    <w:uiPriority w:val="0"/>
  </w:style>
  <w:style w:type="character" w:customStyle="1" w:styleId="49">
    <w:name w:val="表内容@ Char"/>
    <w:basedOn w:val="33"/>
    <w:link w:val="50"/>
    <w:qFormat/>
    <w:uiPriority w:val="0"/>
    <w:rPr>
      <w:rFonts w:ascii="宋体" w:hAnsi="宋体" w:eastAsia="宋体" w:cs="Arial"/>
      <w:szCs w:val="21"/>
    </w:rPr>
  </w:style>
  <w:style w:type="paragraph" w:customStyle="1" w:styleId="50">
    <w:name w:val="表内容@"/>
    <w:basedOn w:val="1"/>
    <w:link w:val="49"/>
    <w:qFormat/>
    <w:uiPriority w:val="0"/>
    <w:pPr>
      <w:adjustRightInd w:val="0"/>
      <w:jc w:val="center"/>
    </w:pPr>
    <w:rPr>
      <w:rFonts w:ascii="宋体" w:hAnsi="宋体" w:eastAsia="宋体" w:cs="Arial"/>
      <w:szCs w:val="21"/>
    </w:rPr>
  </w:style>
  <w:style w:type="character" w:customStyle="1" w:styleId="51">
    <w:name w:val="t1"/>
    <w:qFormat/>
    <w:uiPriority w:val="0"/>
    <w:rPr>
      <w:sz w:val="28"/>
      <w:szCs w:val="28"/>
    </w:rPr>
  </w:style>
  <w:style w:type="character" w:customStyle="1" w:styleId="52">
    <w:name w:val="批注文字 Char"/>
    <w:basedOn w:val="33"/>
    <w:link w:val="10"/>
    <w:qFormat/>
    <w:uiPriority w:val="0"/>
    <w:rPr>
      <w:szCs w:val="24"/>
    </w:rPr>
  </w:style>
  <w:style w:type="character" w:customStyle="1" w:styleId="53">
    <w:name w:val="样式 正文@ + 首行缩进:  2 字符2 Char"/>
    <w:basedOn w:val="33"/>
    <w:link w:val="54"/>
    <w:qFormat/>
    <w:uiPriority w:val="0"/>
    <w:rPr>
      <w:rFonts w:ascii="宋体" w:hAnsi="宋体" w:eastAsia="宋体" w:cs="宋体"/>
      <w:sz w:val="24"/>
    </w:rPr>
  </w:style>
  <w:style w:type="paragraph" w:customStyle="1" w:styleId="54">
    <w:name w:val="样式 正文@ + 首行缩进:  2 字符2"/>
    <w:basedOn w:val="1"/>
    <w:link w:val="53"/>
    <w:qFormat/>
    <w:uiPriority w:val="0"/>
    <w:pPr>
      <w:spacing w:line="360" w:lineRule="auto"/>
      <w:ind w:firstLine="480" w:firstLineChars="200"/>
    </w:pPr>
    <w:rPr>
      <w:rFonts w:ascii="宋体" w:hAnsi="宋体" w:eastAsia="宋体" w:cs="宋体"/>
      <w:sz w:val="24"/>
    </w:rPr>
  </w:style>
  <w:style w:type="character" w:customStyle="1" w:styleId="55">
    <w:name w:val="样式 样式 正文@ + 首行缩进:  2 字符 字距调整小四 紧缩量  0.2 磅 + 首行缩进:  2 字符 Char"/>
    <w:basedOn w:val="33"/>
    <w:link w:val="56"/>
    <w:qFormat/>
    <w:uiPriority w:val="0"/>
    <w:rPr>
      <w:rFonts w:ascii="宋体" w:hAnsi="宋体" w:eastAsia="宋体" w:cs="宋体"/>
      <w:kern w:val="24"/>
      <w:sz w:val="24"/>
      <w:szCs w:val="24"/>
    </w:rPr>
  </w:style>
  <w:style w:type="paragraph" w:customStyle="1" w:styleId="56">
    <w:name w:val="样式 样式 正文@ + 首行缩进:  2 字符 字距调整小四 紧缩量  0.2 磅 + 首行缩进:  2 字符"/>
    <w:basedOn w:val="1"/>
    <w:link w:val="55"/>
    <w:qFormat/>
    <w:uiPriority w:val="0"/>
    <w:pPr>
      <w:spacing w:line="360" w:lineRule="auto"/>
      <w:ind w:firstLine="480" w:firstLineChars="200"/>
    </w:pPr>
    <w:rPr>
      <w:rFonts w:ascii="宋体" w:hAnsi="宋体" w:eastAsia="宋体" w:cs="宋体"/>
      <w:kern w:val="24"/>
      <w:sz w:val="24"/>
      <w:szCs w:val="24"/>
    </w:rPr>
  </w:style>
  <w:style w:type="character" w:customStyle="1" w:styleId="57">
    <w:name w:val="d1"/>
    <w:basedOn w:val="33"/>
    <w:qFormat/>
    <w:uiPriority w:val="0"/>
    <w:rPr>
      <w:rFonts w:hint="default" w:ascii="ˎ̥" w:hAnsi="ˎ̥"/>
      <w:color w:val="5C5C5C"/>
      <w:sz w:val="23"/>
      <w:szCs w:val="23"/>
      <w:u w:val="none"/>
    </w:rPr>
  </w:style>
  <w:style w:type="character" w:customStyle="1" w:styleId="58">
    <w:name w:val="正文2 Char Char"/>
    <w:basedOn w:val="33"/>
    <w:link w:val="59"/>
    <w:qFormat/>
    <w:uiPriority w:val="0"/>
    <w:rPr>
      <w:spacing w:val="18"/>
      <w:sz w:val="32"/>
    </w:rPr>
  </w:style>
  <w:style w:type="paragraph" w:customStyle="1" w:styleId="59">
    <w:name w:val="正文2"/>
    <w:link w:val="5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0">
    <w:name w:val="表头 Char"/>
    <w:basedOn w:val="33"/>
    <w:link w:val="61"/>
    <w:qFormat/>
    <w:uiPriority w:val="0"/>
    <w:rPr>
      <w:rFonts w:ascii="黑体" w:eastAsia="黑体"/>
      <w:sz w:val="24"/>
    </w:rPr>
  </w:style>
  <w:style w:type="paragraph" w:customStyle="1" w:styleId="61">
    <w:name w:val="表头"/>
    <w:basedOn w:val="1"/>
    <w:link w:val="60"/>
    <w:qFormat/>
    <w:uiPriority w:val="0"/>
    <w:pPr>
      <w:spacing w:line="360" w:lineRule="auto"/>
      <w:jc w:val="center"/>
    </w:pPr>
    <w:rPr>
      <w:rFonts w:ascii="黑体" w:eastAsia="黑体"/>
      <w:sz w:val="24"/>
    </w:rPr>
  </w:style>
  <w:style w:type="character" w:customStyle="1" w:styleId="62">
    <w:name w:val="样式 表图头@ + 段前: 0.5 行 Char"/>
    <w:basedOn w:val="33"/>
    <w:link w:val="63"/>
    <w:qFormat/>
    <w:uiPriority w:val="0"/>
    <w:rPr>
      <w:rFonts w:ascii="宋体" w:hAnsi="宋体" w:eastAsia="宋体" w:cs="宋体"/>
    </w:rPr>
  </w:style>
  <w:style w:type="paragraph" w:customStyle="1" w:styleId="63">
    <w:name w:val="样式 表图头@ + 段前: 0.5 行"/>
    <w:basedOn w:val="1"/>
    <w:link w:val="62"/>
    <w:qFormat/>
    <w:uiPriority w:val="0"/>
    <w:pPr>
      <w:adjustRightInd w:val="0"/>
      <w:jc w:val="center"/>
    </w:pPr>
    <w:rPr>
      <w:rFonts w:ascii="宋体" w:hAnsi="宋体" w:eastAsia="宋体" w:cs="宋体"/>
    </w:rPr>
  </w:style>
  <w:style w:type="character" w:customStyle="1" w:styleId="64">
    <w:name w:val="style5"/>
    <w:basedOn w:val="33"/>
    <w:qFormat/>
    <w:uiPriority w:val="0"/>
  </w:style>
  <w:style w:type="character" w:customStyle="1" w:styleId="65">
    <w:name w:val="正文1 Char"/>
    <w:basedOn w:val="33"/>
    <w:link w:val="66"/>
    <w:qFormat/>
    <w:uiPriority w:val="0"/>
    <w:rPr>
      <w:rFonts w:eastAsia="宋体"/>
    </w:rPr>
  </w:style>
  <w:style w:type="paragraph" w:customStyle="1" w:styleId="66">
    <w:name w:val="正文1"/>
    <w:basedOn w:val="1"/>
    <w:link w:val="65"/>
    <w:qFormat/>
    <w:uiPriority w:val="0"/>
    <w:pPr>
      <w:adjustRightInd w:val="0"/>
      <w:snapToGrid w:val="0"/>
      <w:spacing w:line="500" w:lineRule="atLeast"/>
      <w:ind w:firstLine="567"/>
    </w:pPr>
    <w:rPr>
      <w:rFonts w:eastAsia="宋体"/>
    </w:rPr>
  </w:style>
  <w:style w:type="character" w:customStyle="1" w:styleId="67">
    <w:name w:val="样式2 Char Char"/>
    <w:basedOn w:val="33"/>
    <w:link w:val="68"/>
    <w:qFormat/>
    <w:uiPriority w:val="0"/>
    <w:rPr>
      <w:rFonts w:ascii="黑体" w:hAnsi="宋体" w:eastAsia="黑体"/>
      <w:bCs/>
      <w:sz w:val="24"/>
      <w:szCs w:val="24"/>
    </w:rPr>
  </w:style>
  <w:style w:type="paragraph" w:customStyle="1" w:styleId="68">
    <w:name w:val="样式2"/>
    <w:basedOn w:val="1"/>
    <w:link w:val="67"/>
    <w:qFormat/>
    <w:uiPriority w:val="0"/>
    <w:pPr>
      <w:spacing w:line="360" w:lineRule="auto"/>
      <w:ind w:firstLine="840" w:firstLineChars="350"/>
    </w:pPr>
    <w:rPr>
      <w:rFonts w:ascii="黑体" w:hAnsi="宋体" w:eastAsia="黑体"/>
      <w:bCs/>
      <w:sz w:val="24"/>
      <w:szCs w:val="24"/>
    </w:rPr>
  </w:style>
  <w:style w:type="character" w:customStyle="1" w:styleId="69">
    <w:name w:val="正文缩进 Char"/>
    <w:basedOn w:val="33"/>
    <w:link w:val="7"/>
    <w:qFormat/>
    <w:uiPriority w:val="0"/>
    <w:rPr>
      <w:rFonts w:eastAsia="宋体"/>
      <w:szCs w:val="24"/>
    </w:rPr>
  </w:style>
  <w:style w:type="character" w:customStyle="1" w:styleId="70">
    <w:name w:val="题注 Char"/>
    <w:basedOn w:val="33"/>
    <w:link w:val="8"/>
    <w:qFormat/>
    <w:uiPriority w:val="0"/>
    <w:rPr>
      <w:rFonts w:ascii="宋体" w:hAnsi="Arial" w:eastAsia="宋体" w:cs="Arial"/>
    </w:rPr>
  </w:style>
  <w:style w:type="character" w:customStyle="1" w:styleId="71">
    <w:name w:val="纯文本 Char"/>
    <w:qFormat/>
    <w:uiPriority w:val="0"/>
    <w:rPr>
      <w:rFonts w:ascii="宋体" w:hAnsi="Courier New" w:eastAsia="宋体"/>
      <w:kern w:val="2"/>
      <w:sz w:val="21"/>
      <w:lang w:val="en-US" w:eastAsia="zh-CN" w:bidi="ar-SA"/>
    </w:rPr>
  </w:style>
  <w:style w:type="character" w:customStyle="1" w:styleId="72">
    <w:name w:val="纯文本 Char1"/>
    <w:link w:val="17"/>
    <w:qFormat/>
    <w:uiPriority w:val="0"/>
    <w:rPr>
      <w:rFonts w:ascii="宋体" w:hAnsi="Courier New" w:eastAsia="宋体"/>
    </w:rPr>
  </w:style>
  <w:style w:type="character" w:customStyle="1" w:styleId="73">
    <w:name w:val="批注主题 Char"/>
    <w:basedOn w:val="52"/>
    <w:link w:val="29"/>
    <w:qFormat/>
    <w:uiPriority w:val="0"/>
    <w:rPr>
      <w:b/>
      <w:bCs/>
      <w:szCs w:val="24"/>
    </w:rPr>
  </w:style>
  <w:style w:type="character" w:customStyle="1" w:styleId="74">
    <w:name w:val="正文文本 3 Char"/>
    <w:basedOn w:val="33"/>
    <w:link w:val="11"/>
    <w:qFormat/>
    <w:uiPriority w:val="0"/>
    <w:rPr>
      <w:rFonts w:ascii="Times New Roman" w:hAnsi="Times New Roman" w:eastAsia="宋体" w:cs="Times New Roman"/>
      <w:sz w:val="16"/>
      <w:szCs w:val="16"/>
    </w:rPr>
  </w:style>
  <w:style w:type="character" w:customStyle="1" w:styleId="75">
    <w:name w:val="文档结构图 Char"/>
    <w:basedOn w:val="33"/>
    <w:link w:val="9"/>
    <w:semiHidden/>
    <w:qFormat/>
    <w:uiPriority w:val="0"/>
    <w:rPr>
      <w:rFonts w:ascii="Times New Roman" w:hAnsi="Times New Roman" w:eastAsia="宋体" w:cs="Times New Roman"/>
      <w:szCs w:val="24"/>
      <w:shd w:val="clear" w:color="auto" w:fill="000080"/>
    </w:rPr>
  </w:style>
  <w:style w:type="character" w:customStyle="1" w:styleId="76">
    <w:name w:val="批注文字 字符1"/>
    <w:basedOn w:val="33"/>
    <w:semiHidden/>
    <w:qFormat/>
    <w:uiPriority w:val="99"/>
  </w:style>
  <w:style w:type="character" w:customStyle="1" w:styleId="77">
    <w:name w:val="批注主题 字符1"/>
    <w:basedOn w:val="76"/>
    <w:semiHidden/>
    <w:qFormat/>
    <w:uiPriority w:val="99"/>
    <w:rPr>
      <w:b/>
      <w:bCs/>
    </w:rPr>
  </w:style>
  <w:style w:type="character" w:customStyle="1" w:styleId="78">
    <w:name w:val="正文文本 Char"/>
    <w:basedOn w:val="33"/>
    <w:link w:val="12"/>
    <w:qFormat/>
    <w:uiPriority w:val="0"/>
    <w:rPr>
      <w:rFonts w:ascii="Times New Roman" w:hAnsi="Times New Roman" w:eastAsia="宋体" w:cs="Times New Roman"/>
      <w:sz w:val="32"/>
      <w:szCs w:val="20"/>
    </w:rPr>
  </w:style>
  <w:style w:type="character" w:customStyle="1" w:styleId="79">
    <w:name w:val="正文文本缩进 Char"/>
    <w:basedOn w:val="33"/>
    <w:link w:val="14"/>
    <w:qFormat/>
    <w:uiPriority w:val="0"/>
    <w:rPr>
      <w:rFonts w:ascii="宋体" w:hAnsi="Times New Roman" w:eastAsia="宋体" w:cs="Times New Roman"/>
      <w:sz w:val="24"/>
      <w:szCs w:val="24"/>
    </w:rPr>
  </w:style>
  <w:style w:type="character" w:customStyle="1" w:styleId="80">
    <w:name w:val="纯文本 字符1"/>
    <w:basedOn w:val="33"/>
    <w:semiHidden/>
    <w:qFormat/>
    <w:uiPriority w:val="99"/>
    <w:rPr>
      <w:rFonts w:hAnsi="Courier New" w:cs="Courier New" w:asciiTheme="minorEastAsia"/>
    </w:rPr>
  </w:style>
  <w:style w:type="character" w:customStyle="1" w:styleId="81">
    <w:name w:val="正文文本缩进 3 Char"/>
    <w:basedOn w:val="33"/>
    <w:link w:val="24"/>
    <w:qFormat/>
    <w:uiPriority w:val="0"/>
    <w:rPr>
      <w:rFonts w:ascii="宋体" w:hAnsi="Times New Roman" w:eastAsia="宋体" w:cs="Times New Roman"/>
      <w:sz w:val="28"/>
      <w:szCs w:val="20"/>
    </w:rPr>
  </w:style>
  <w:style w:type="character" w:customStyle="1" w:styleId="82">
    <w:name w:val="正文文本缩进 2 Char"/>
    <w:basedOn w:val="33"/>
    <w:link w:val="19"/>
    <w:qFormat/>
    <w:uiPriority w:val="0"/>
    <w:rPr>
      <w:rFonts w:ascii="Times New Roman" w:hAnsi="Times New Roman" w:eastAsia="宋体" w:cs="Times New Roman"/>
      <w:sz w:val="28"/>
      <w:szCs w:val="20"/>
    </w:rPr>
  </w:style>
  <w:style w:type="character" w:customStyle="1" w:styleId="83">
    <w:name w:val="正文文本 2 Char"/>
    <w:basedOn w:val="33"/>
    <w:link w:val="26"/>
    <w:qFormat/>
    <w:uiPriority w:val="0"/>
    <w:rPr>
      <w:rFonts w:ascii="Times New Roman" w:hAnsi="Times New Roman" w:eastAsia="宋体" w:cs="Times New Roman"/>
      <w:szCs w:val="20"/>
    </w:rPr>
  </w:style>
  <w:style w:type="paragraph" w:customStyle="1" w:styleId="84">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5">
    <w:name w:val="CM6"/>
    <w:basedOn w:val="86"/>
    <w:next w:val="86"/>
    <w:qFormat/>
    <w:uiPriority w:val="0"/>
    <w:pPr>
      <w:spacing w:line="626" w:lineRule="atLeast"/>
    </w:pPr>
    <w:rPr>
      <w:rFonts w:hAnsi="Times New Roman" w:cs="Times New Roman"/>
      <w:color w:val="auto"/>
    </w:rPr>
  </w:style>
  <w:style w:type="paragraph" w:customStyle="1" w:styleId="8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86"/>
    <w:next w:val="86"/>
    <w:qFormat/>
    <w:uiPriority w:val="0"/>
    <w:pPr>
      <w:spacing w:line="468" w:lineRule="atLeast"/>
    </w:pPr>
    <w:rPr>
      <w:rFonts w:hAnsi="Times New Roman" w:cs="Times New Roman"/>
      <w:color w:val="auto"/>
    </w:rPr>
  </w:style>
  <w:style w:type="paragraph" w:customStyle="1" w:styleId="92">
    <w:name w:val="CM7"/>
    <w:basedOn w:val="86"/>
    <w:next w:val="86"/>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86"/>
    <w:next w:val="86"/>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86"/>
    <w:next w:val="86"/>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4"/>
    <w:qFormat/>
    <w:uiPriority w:val="0"/>
    <w:pPr>
      <w:spacing w:line="500" w:lineRule="exact"/>
      <w:ind w:firstLine="567"/>
    </w:pPr>
    <w:rPr>
      <w:sz w:val="28"/>
      <w:szCs w:val="20"/>
    </w:rPr>
  </w:style>
  <w:style w:type="paragraph" w:customStyle="1" w:styleId="104">
    <w:name w:val="CM51"/>
    <w:basedOn w:val="86"/>
    <w:next w:val="86"/>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7"/>
    <w:qFormat/>
    <w:uiPriority w:val="0"/>
    <w:rPr>
      <w:rFonts w:ascii="宋体" w:hAnsi="Courier New" w:eastAsia="宋体" w:cs="Courier New"/>
      <w:szCs w:val="21"/>
    </w:rPr>
  </w:style>
  <w:style w:type="paragraph" w:customStyle="1" w:styleId="108">
    <w:name w:val="CM5"/>
    <w:basedOn w:val="86"/>
    <w:next w:val="86"/>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86"/>
    <w:next w:val="86"/>
    <w:qFormat/>
    <w:uiPriority w:val="0"/>
    <w:rPr>
      <w:rFonts w:hAnsi="Times New Roman" w:cs="Times New Roman"/>
      <w:color w:val="auto"/>
    </w:rPr>
  </w:style>
  <w:style w:type="paragraph" w:customStyle="1" w:styleId="115">
    <w:name w:val="CM109"/>
    <w:basedOn w:val="86"/>
    <w:next w:val="86"/>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7"/>
    <w:next w:val="7"/>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 w:type="paragraph" w:customStyle="1" w:styleId="134">
    <w:name w:val="表格内容"/>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135">
    <w:name w:val="表格居中"/>
    <w:qFormat/>
    <w:uiPriority w:val="0"/>
    <w:pPr>
      <w:spacing w:line="440" w:lineRule="exact"/>
      <w:jc w:val="center"/>
    </w:pPr>
    <w:rPr>
      <w:rFonts w:ascii="Arial Unicode MS" w:hAnsi="Arial Unicode MS" w:eastAsia="MingLiU" w:cs="Arial Unicode MS"/>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0"/>
    <customShpInfo spid="_x0000_s1201"/>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36</Pages>
  <Words>11176</Words>
  <Characters>14084</Characters>
  <Lines>234</Lines>
  <Paragraphs>66</Paragraphs>
  <TotalTime>2</TotalTime>
  <ScaleCrop>false</ScaleCrop>
  <LinksUpToDate>false</LinksUpToDate>
  <CharactersWithSpaces>14441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经经</cp:lastModifiedBy>
  <cp:lastPrinted>2020-01-09T02:53:00Z</cp:lastPrinted>
  <dcterms:modified xsi:type="dcterms:W3CDTF">2022-10-14T09:12:56Z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2DD0601DC74D453DA8F802A73678D168</vt:lpwstr>
  </property>
</Properties>
</file>