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CZAYDLQCYXGS001</w:t>
      </w:r>
      <w:r>
        <w:rPr>
          <w:rFonts w:hint="default" w:ascii="Times New Roman" w:hAnsi="Times New Roman" w:eastAsia="宋体" w:cs="Times New Roman"/>
          <w:sz w:val="24"/>
          <w:szCs w:val="24"/>
          <w:lang w:val="en-US" w:eastAsia="zh-CN"/>
        </w:rPr>
        <w:t>号</w:t>
      </w:r>
    </w:p>
    <w:p>
      <w:pPr>
        <w:pStyle w:val="7"/>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沧州奥裕电力器材有限公司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年产5000万米热缩套管新建项目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沧州奥裕电力器材有限公司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沧州奥裕电力器材有限公司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23</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02</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7"/>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7"/>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7"/>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7"/>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7"/>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4.1建设项目环评报告</w:t>
          </w:r>
          <w:r>
            <w:rPr>
              <w:rStyle w:val="37"/>
              <w:rFonts w:hint="eastAsia" w:ascii="Times New Roman" w:hAnsi="Times New Roman" w:eastAsia="宋体" w:cs="Times New Roman"/>
              <w:sz w:val="24"/>
              <w:szCs w:val="24"/>
              <w:lang w:val="en-US" w:eastAsia="zh-CN"/>
            </w:rPr>
            <w:t>表</w:t>
          </w:r>
          <w:r>
            <w:rPr>
              <w:rStyle w:val="37"/>
              <w:rFonts w:hint="default" w:ascii="Times New Roman" w:hAnsi="Times New Roman" w:eastAsia="宋体" w:cs="Times New Roman"/>
              <w:sz w:val="24"/>
              <w:szCs w:val="24"/>
            </w:rPr>
            <w:t>的主要结论</w:t>
          </w:r>
          <w:r>
            <w:rPr>
              <w:rStyle w:val="37"/>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7"/>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7"/>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7"/>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7"/>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7"/>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7"/>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bookmarkStart w:id="128" w:name="_GoBack"/>
      <w:bookmarkEnd w:id="128"/>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3"/>
        <w:jc w:val="center"/>
        <w:rPr>
          <w:rFonts w:hint="default" w:ascii="Times New Roman" w:hAnsi="Times New Roman" w:cs="Times New Roman"/>
        </w:rPr>
      </w:pPr>
      <w:bookmarkStart w:id="2" w:name="_Toc504325317"/>
    </w:p>
    <w:p>
      <w:pPr>
        <w:pStyle w:val="3"/>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沧州奥裕电力器材有限公司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河间市留古寺镇留古寺村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50万元建设年产5000万米热缩套管新建项目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2022年12月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沧州奥裕电力器材有限公司年产5000万米热缩套管新建项目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2023年02月03日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河间市行政审批局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河审批（环评—表）[2023]第15号。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沧州奥裕电力器材有限公司年产5000万米热缩套管新建项目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沧州奥裕电力器材有限公司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2023年02月20日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2023年02月21日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沧州奥裕电力器材有限公司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3"/>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4"/>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4"/>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《合成树脂工业污染物排放标准》（GB31572-2015）；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（12）《挥发性有机物无组织排放控制标准》（GB 37822-2019）；</w:t>
      </w:r>
    </w:p>
    <w:p>
      <w:pPr>
        <w:pStyle w:val="7"/>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13</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7"/>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4"/>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沧州奥裕电力器材有限公司年产5000万米热缩套管新建项目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2022年12月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河间市行政审批局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沧州奥裕电力器材有限公司年产5000万米热缩套管新建项目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河审批（环评—表）[2023]第15号，2023年02月03日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496979000"/>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年产5000万米热缩套管新建项目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沧州奥裕电力器材有限公司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刘瑞峰</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刘瑞峰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河间市留古寺镇留古寺村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13933987993</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C2922 塑料板、管、型材制造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河间市留古寺镇留古寺村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p>
        </w:tc>
      </w:tr>
    </w:tbl>
    <w:p>
      <w:pPr>
        <w:pStyle w:val="5"/>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504325325"/>
      <w:bookmarkStart w:id="15" w:name="_Toc496979001"/>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河间市留古寺镇留古寺村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16.38</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32</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36.07</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6979002"/>
      <w:bookmarkStart w:id="17" w:name="_Toc504325326"/>
      <w:bookmarkStart w:id="18" w:name="_Toc497001438"/>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年产热缩套管5000万米</w:t>
      </w:r>
      <w:r>
        <w:rPr>
          <w:rFonts w:hint="eastAsia" w:ascii="Times New Roman" w:hAnsi="Times New Roman" w:eastAsia="宋体" w:cs="Times New Roman"/>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1" w:name="_Toc504325329"/>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br w:type="page"/>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adjustRightInd w:val="0"/>
              <w:snapToGrid w:val="0"/>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聚乙烯颗粒</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28</w:t>
            </w:r>
            <w:r>
              <w:rPr>
                <w:rFonts w:hint="default" w:ascii="Times New Roman" w:hAnsi="Times New Roman" w:eastAsia="宋体" w:cs="Times New Roman"/>
                <w:szCs w:val="21"/>
              </w:rPr>
              <w:t>00</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28</w:t>
            </w:r>
            <w:r>
              <w:rPr>
                <w:rFonts w:hint="default"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965" w:type="dxa"/>
            <w:vAlign w:val="center"/>
          </w:tcPr>
          <w:p>
            <w:pPr>
              <w:adjustRightInd w:val="0"/>
              <w:snapToGrid w:val="0"/>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阻燃剂</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60</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965" w:type="dxa"/>
            <w:vAlign w:val="center"/>
          </w:tcPr>
          <w:p>
            <w:pPr>
              <w:adjustRightInd w:val="0"/>
              <w:snapToGrid w:val="0"/>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抗氧剂</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40</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965" w:type="dxa"/>
            <w:vAlign w:val="center"/>
          </w:tcPr>
          <w:p>
            <w:pPr>
              <w:adjustRightInd w:val="0"/>
              <w:snapToGrid w:val="0"/>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色母</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20</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965" w:type="dxa"/>
            <w:vAlign w:val="center"/>
          </w:tcPr>
          <w:p>
            <w:pPr>
              <w:adjustRightInd w:val="0"/>
              <w:snapToGrid w:val="0"/>
              <w:jc w:val="center"/>
              <w:rPr>
                <w:rFonts w:hint="default" w:ascii="Times New Roman" w:hAnsi="Times New Roman" w:eastAsia="宋体" w:cs="Times New Roman"/>
                <w:spacing w:val="4"/>
                <w:kern w:val="2"/>
                <w:sz w:val="21"/>
                <w:szCs w:val="21"/>
                <w:lang w:val="en-US" w:eastAsia="zh-CN" w:bidi="ar-SA"/>
              </w:rPr>
            </w:pPr>
            <w:r>
              <w:rPr>
                <w:rFonts w:hint="default" w:ascii="Times New Roman" w:hAnsi="Times New Roman" w:eastAsia="宋体" w:cs="Times New Roman"/>
                <w:spacing w:val="4"/>
                <w:szCs w:val="21"/>
              </w:rPr>
              <w:t>新鲜水</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m³/a</w:t>
            </w:r>
          </w:p>
        </w:tc>
        <w:tc>
          <w:tcPr>
            <w:tcW w:w="1543"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33</w:t>
            </w:r>
            <w:r>
              <w:rPr>
                <w:rFonts w:hint="default" w:ascii="Times New Roman" w:hAnsi="Times New Roman" w:eastAsia="宋体" w:cs="Times New Roman"/>
                <w:szCs w:val="21"/>
              </w:rPr>
              <w:t>0</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33</w:t>
            </w:r>
            <w:r>
              <w:rPr>
                <w:rFonts w:hint="default"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965"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电</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万kWh/a</w:t>
            </w:r>
          </w:p>
        </w:tc>
        <w:tc>
          <w:tcPr>
            <w:tcW w:w="1543"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10</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10</w:t>
            </w:r>
          </w:p>
        </w:tc>
      </w:tr>
    </w:tbl>
    <w:p>
      <w:pPr>
        <w:pStyle w:val="5"/>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环保工程内容</w:t>
      </w:r>
      <w:r>
        <w:rPr>
          <w:rFonts w:hint="default" w:ascii="Times New Roman" w:hAnsi="Times New Roman" w:eastAsia="宋体" w:cs="Times New Roman"/>
          <w:sz w:val="24"/>
          <w:szCs w:val="24"/>
        </w:rPr>
        <w:t>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环保工程内容</w:t>
      </w:r>
      <w:r>
        <w:rPr>
          <w:rFonts w:hint="default" w:ascii="Times New Roman" w:hAnsi="Times New Roman" w:eastAsia="宋体" w:cs="Times New Roman"/>
          <w:b/>
          <w:bCs/>
          <w:sz w:val="24"/>
          <w:szCs w:val="24"/>
        </w:rPr>
        <w:t>一览表</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环保工程内容</w:t>
            </w:r>
          </w:p>
        </w:tc>
        <w:tc>
          <w:tcPr>
            <w:tcW w:w="1632" w:type="dxa"/>
            <w:noWrap w:val="0"/>
            <w:vAlign w:val="center"/>
          </w:tcPr>
          <w:p>
            <w:pPr>
              <w:pStyle w:val="1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1298" w:type="dxa"/>
            <w:noWrap w:val="0"/>
            <w:tcMar>
              <w:top w:w="0" w:type="dxa"/>
              <w:left w:w="51" w:type="dxa"/>
              <w:bottom w:w="0" w:type="dxa"/>
              <w:right w:w="51"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废气</w:t>
            </w:r>
          </w:p>
        </w:tc>
        <w:tc>
          <w:tcPr>
            <w:tcW w:w="4947" w:type="dxa"/>
            <w:noWrap w:val="0"/>
            <w:tcMar>
              <w:top w:w="0" w:type="dxa"/>
              <w:left w:w="51" w:type="dxa"/>
              <w:bottom w:w="0" w:type="dxa"/>
              <w:right w:w="51" w:type="dxa"/>
            </w:tcMar>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挤出</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扩张</w:t>
            </w:r>
            <w:r>
              <w:rPr>
                <w:rFonts w:hint="default" w:ascii="Times New Roman" w:hAnsi="Times New Roman" w:eastAsia="宋体" w:cs="Times New Roman"/>
                <w:szCs w:val="21"/>
              </w:rPr>
              <w:t>工序废气经集气罩+软帘收集后，经二级活性炭吸附处理，</w:t>
            </w:r>
            <w:r>
              <w:rPr>
                <w:rFonts w:hint="default" w:ascii="Times New Roman" w:hAnsi="Times New Roman" w:eastAsia="宋体" w:cs="Times New Roman"/>
                <w:szCs w:val="21"/>
                <w:lang w:val="en-US" w:eastAsia="zh-CN"/>
              </w:rPr>
              <w:t>再</w:t>
            </w:r>
            <w:r>
              <w:rPr>
                <w:rFonts w:hint="default" w:ascii="Times New Roman" w:hAnsi="Times New Roman" w:eastAsia="宋体" w:cs="Times New Roman"/>
                <w:szCs w:val="21"/>
              </w:rPr>
              <w:t>经1根15m高排气筒（DA001）排放；</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未被收集的废气无组织排放。</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1298" w:type="dxa"/>
            <w:noWrap w:val="0"/>
            <w:tcMar>
              <w:top w:w="0" w:type="dxa"/>
              <w:left w:w="51" w:type="dxa"/>
              <w:bottom w:w="0" w:type="dxa"/>
              <w:right w:w="51"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废水</w:t>
            </w:r>
          </w:p>
        </w:tc>
        <w:tc>
          <w:tcPr>
            <w:tcW w:w="4947" w:type="dxa"/>
            <w:noWrap w:val="0"/>
            <w:tcMar>
              <w:top w:w="0" w:type="dxa"/>
              <w:left w:w="51" w:type="dxa"/>
              <w:bottom w:w="0" w:type="dxa"/>
              <w:right w:w="51" w:type="dxa"/>
            </w:tcMar>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冷却用水循环使用，不外排，定期补充新鲜水；</w:t>
            </w:r>
            <w:r>
              <w:rPr>
                <w:rFonts w:hint="default" w:ascii="Times New Roman" w:hAnsi="Times New Roman" w:eastAsia="宋体" w:cs="Times New Roman"/>
                <w:szCs w:val="21"/>
                <w:lang w:val="en-US" w:eastAsia="zh-CN"/>
              </w:rPr>
              <w:t>职工</w:t>
            </w:r>
            <w:r>
              <w:rPr>
                <w:rFonts w:hint="default" w:ascii="Times New Roman" w:hAnsi="Times New Roman" w:eastAsia="宋体" w:cs="Times New Roman"/>
                <w:szCs w:val="21"/>
              </w:rPr>
              <w:t>生活污水</w:t>
            </w:r>
            <w:r>
              <w:rPr>
                <w:rFonts w:hint="default" w:ascii="Times New Roman" w:hAnsi="Times New Roman" w:eastAsia="宋体" w:cs="Times New Roman"/>
                <w:szCs w:val="21"/>
                <w:lang w:val="en-US" w:eastAsia="zh-CN"/>
              </w:rPr>
              <w:t>用于厂区泼洒抑尘，</w:t>
            </w:r>
            <w:r>
              <w:rPr>
                <w:rFonts w:hint="default" w:ascii="Times New Roman" w:hAnsi="Times New Roman" w:eastAsia="宋体" w:cs="Times New Roman"/>
                <w:szCs w:val="21"/>
              </w:rPr>
              <w:t>厂区</w:t>
            </w:r>
            <w:r>
              <w:rPr>
                <w:rFonts w:hint="default" w:ascii="Times New Roman" w:hAnsi="Times New Roman" w:eastAsia="宋体" w:cs="Times New Roman"/>
                <w:szCs w:val="21"/>
                <w:lang w:val="en-US" w:eastAsia="zh-CN"/>
              </w:rPr>
              <w:t>设有</w:t>
            </w:r>
            <w:r>
              <w:rPr>
                <w:rFonts w:hint="default" w:ascii="Times New Roman" w:hAnsi="Times New Roman" w:eastAsia="宋体" w:cs="Times New Roman"/>
                <w:szCs w:val="21"/>
              </w:rPr>
              <w:t>防渗旱厕，定期清掏</w:t>
            </w:r>
            <w:r>
              <w:rPr>
                <w:rFonts w:hint="default" w:ascii="Times New Roman" w:hAnsi="Times New Roman" w:eastAsia="宋体" w:cs="Times New Roman"/>
                <w:szCs w:val="21"/>
                <w:lang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1298" w:type="dxa"/>
            <w:noWrap w:val="0"/>
            <w:tcMar>
              <w:top w:w="0" w:type="dxa"/>
              <w:left w:w="51" w:type="dxa"/>
              <w:bottom w:w="0" w:type="dxa"/>
              <w:right w:w="51"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噪声</w:t>
            </w:r>
          </w:p>
        </w:tc>
        <w:tc>
          <w:tcPr>
            <w:tcW w:w="4947" w:type="dxa"/>
            <w:noWrap w:val="0"/>
            <w:tcMar>
              <w:top w:w="0" w:type="dxa"/>
              <w:left w:w="51" w:type="dxa"/>
              <w:bottom w:w="0" w:type="dxa"/>
              <w:right w:w="51" w:type="dxa"/>
            </w:tcMar>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生产设备采取基础减振、厂房隔声等降噪措施</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1298" w:type="dxa"/>
            <w:noWrap w:val="0"/>
            <w:tcMar>
              <w:top w:w="0" w:type="dxa"/>
              <w:left w:w="51" w:type="dxa"/>
              <w:bottom w:w="0" w:type="dxa"/>
              <w:right w:w="51"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固废</w:t>
            </w:r>
          </w:p>
        </w:tc>
        <w:tc>
          <w:tcPr>
            <w:tcW w:w="4947" w:type="dxa"/>
            <w:noWrap w:val="0"/>
            <w:tcMar>
              <w:top w:w="0" w:type="dxa"/>
              <w:left w:w="51" w:type="dxa"/>
              <w:bottom w:w="0" w:type="dxa"/>
              <w:right w:w="51" w:type="dxa"/>
            </w:tcMar>
            <w:vAlign w:val="center"/>
          </w:tcPr>
          <w:p>
            <w:pP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一般固废：</w:t>
            </w:r>
            <w:r>
              <w:rPr>
                <w:rFonts w:hint="default" w:ascii="Times New Roman" w:hAnsi="Times New Roman" w:eastAsia="宋体" w:cs="Times New Roman"/>
                <w:szCs w:val="21"/>
                <w:lang w:val="en-US" w:eastAsia="zh-CN"/>
              </w:rPr>
              <w:t>边角料、不合格产品经</w:t>
            </w:r>
            <w:r>
              <w:rPr>
                <w:rFonts w:hint="default" w:ascii="Times New Roman" w:hAnsi="Times New Roman" w:eastAsia="宋体" w:cs="Times New Roman"/>
                <w:szCs w:val="21"/>
              </w:rPr>
              <w:t>收集后</w:t>
            </w:r>
            <w:r>
              <w:rPr>
                <w:rFonts w:hint="default" w:ascii="Times New Roman" w:hAnsi="Times New Roman" w:eastAsia="宋体" w:cs="Times New Roman"/>
                <w:szCs w:val="21"/>
                <w:lang w:val="en-US" w:eastAsia="zh-CN"/>
              </w:rPr>
              <w:t>粉碎，回用于生产</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废包装袋经收集后外售综合利用；</w:t>
            </w:r>
          </w:p>
          <w:p>
            <w:pPr>
              <w:rPr>
                <w:rFonts w:hint="default" w:ascii="Times New Roman" w:hAnsi="Times New Roman" w:eastAsia="宋体" w:cs="Times New Roman"/>
                <w:szCs w:val="21"/>
                <w:lang w:eastAsia="zh-CN"/>
              </w:rPr>
            </w:pPr>
            <w:r>
              <w:rPr>
                <w:rFonts w:hint="default" w:ascii="Times New Roman" w:hAnsi="Times New Roman" w:eastAsia="宋体" w:cs="Times New Roman"/>
                <w:szCs w:val="21"/>
              </w:rPr>
              <w:t>危险废物：废活性炭于危废暂存间暂存，定期交有资质单位处置</w:t>
            </w:r>
            <w:r>
              <w:rPr>
                <w:rFonts w:hint="default" w:ascii="Times New Roman" w:hAnsi="Times New Roman" w:eastAsia="宋体" w:cs="Times New Roman"/>
                <w:szCs w:val="21"/>
                <w:lang w:eastAsia="zh-CN"/>
              </w:rPr>
              <w:t>；</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生活垃圾：职工生活垃圾由当地环卫部门清运</w:t>
            </w:r>
            <w:r>
              <w:rPr>
                <w:rFonts w:hint="default" w:ascii="Times New Roman" w:hAnsi="Times New Roman" w:eastAsia="宋体" w:cs="Times New Roman"/>
                <w:szCs w:val="21"/>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1298" w:type="dxa"/>
            <w:noWrap w:val="0"/>
            <w:tcMar>
              <w:top w:w="0" w:type="dxa"/>
              <w:left w:w="51" w:type="dxa"/>
              <w:bottom w:w="0" w:type="dxa"/>
              <w:right w:w="51" w:type="dxa"/>
            </w:tcMar>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防渗</w:t>
            </w:r>
          </w:p>
        </w:tc>
        <w:tc>
          <w:tcPr>
            <w:tcW w:w="4947" w:type="dxa"/>
            <w:noWrap w:val="0"/>
            <w:tcMar>
              <w:top w:w="0" w:type="dxa"/>
              <w:left w:w="51" w:type="dxa"/>
              <w:bottom w:w="0" w:type="dxa"/>
              <w:right w:w="51" w:type="dxa"/>
            </w:tcMar>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本项目利用</w:t>
            </w:r>
            <w:r>
              <w:rPr>
                <w:rFonts w:hint="default" w:ascii="Times New Roman" w:hAnsi="Times New Roman" w:eastAsia="宋体" w:cs="Times New Roman"/>
                <w:szCs w:val="21"/>
                <w:lang w:val="en-US" w:eastAsia="zh-CN"/>
              </w:rPr>
              <w:t>现有办公区、库房、</w:t>
            </w:r>
            <w:r>
              <w:rPr>
                <w:rFonts w:hint="default" w:ascii="Times New Roman" w:hAnsi="Times New Roman" w:eastAsia="宋体" w:cs="Times New Roman"/>
                <w:szCs w:val="21"/>
              </w:rPr>
              <w:t>生产车间，地面</w:t>
            </w:r>
            <w:r>
              <w:rPr>
                <w:rFonts w:hint="default" w:ascii="Times New Roman" w:hAnsi="Times New Roman" w:eastAsia="宋体" w:cs="Times New Roman"/>
                <w:szCs w:val="21"/>
                <w:lang w:val="en-US" w:eastAsia="zh-CN"/>
              </w:rPr>
              <w:t>已</w:t>
            </w:r>
            <w:r>
              <w:rPr>
                <w:rFonts w:hint="default" w:ascii="Times New Roman" w:hAnsi="Times New Roman" w:eastAsia="宋体" w:cs="Times New Roman"/>
                <w:szCs w:val="21"/>
              </w:rPr>
              <w:t>采取硬化措施，</w:t>
            </w:r>
            <w:r>
              <w:rPr>
                <w:rFonts w:hint="default" w:ascii="Times New Roman" w:hAnsi="Times New Roman" w:eastAsia="宋体" w:cs="Times New Roman"/>
                <w:szCs w:val="21"/>
                <w:lang w:val="en-US" w:eastAsia="zh-CN"/>
              </w:rPr>
              <w:t>循环水池采取防渗处理，</w:t>
            </w:r>
            <w:r>
              <w:rPr>
                <w:rFonts w:hint="default" w:ascii="Times New Roman" w:hAnsi="Times New Roman" w:eastAsia="宋体" w:cs="Times New Roman"/>
                <w:szCs w:val="21"/>
              </w:rPr>
              <w:t>渗透系数≤10</w:t>
            </w:r>
            <w:r>
              <w:rPr>
                <w:rFonts w:hint="default" w:ascii="Times New Roman" w:hAnsi="Times New Roman" w:eastAsia="宋体" w:cs="Times New Roman"/>
                <w:szCs w:val="21"/>
                <w:vertAlign w:val="superscript"/>
              </w:rPr>
              <w:t>-7</w:t>
            </w:r>
            <w:r>
              <w:rPr>
                <w:rFonts w:hint="default" w:ascii="Times New Roman" w:hAnsi="Times New Roman" w:eastAsia="宋体" w:cs="Times New Roman"/>
                <w:szCs w:val="21"/>
              </w:rPr>
              <w:t>cm/s；建设危废暂存间采取重点防渗措施，渗透系数≤10</w:t>
            </w:r>
            <w:r>
              <w:rPr>
                <w:rFonts w:hint="default" w:ascii="Times New Roman" w:hAnsi="Times New Roman" w:eastAsia="宋体" w:cs="Times New Roman"/>
                <w:szCs w:val="21"/>
                <w:vertAlign w:val="superscript"/>
              </w:rPr>
              <w:t>-10</w:t>
            </w:r>
            <w:r>
              <w:rPr>
                <w:rFonts w:hint="default" w:ascii="Times New Roman" w:hAnsi="Times New Roman" w:eastAsia="宋体" w:cs="Times New Roman"/>
                <w:szCs w:val="21"/>
              </w:rPr>
              <w:t>cm/s。</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pStyle w:val="5"/>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br w:type="page"/>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双螺杆挤出机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51/105</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单螺杆挤管机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SJ65</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缠管机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DPS-40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拌料机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非标</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扩张机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RSSB-01</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15</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30"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包装机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450型</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30"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粉碎机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2.2kw</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bl>
    <w:p>
      <w:pPr>
        <w:pStyle w:val="4"/>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rPr>
          <w:rFonts w:eastAsia="黑体"/>
          <w:color w:val="FF0000"/>
          <w:szCs w:val="21"/>
          <w:highlight w:val="yellow"/>
        </w:rPr>
        <w:pict>
          <v:shape id="Object 68" o:spid="_x0000_s1196" o:spt="75" type="#_x0000_t75" style="position:absolute;left:0pt;margin-left:31.1pt;margin-top:21.35pt;height:98.65pt;width:376.45pt;z-index:251662336;mso-width-relative:page;mso-height-relative:page;" o:ole="t" filled="f" o:preferrelative="t" stroked="f" coordsize="21600,21600">
            <v:path/>
            <v:fill on="f" focussize="0,0"/>
            <v:stroke on="f"/>
            <v:imagedata r:id="rId9" o:title=""/>
            <o:lock v:ext="edit" aspectratio="f"/>
          </v:shape>
          <o:OLEObject Type="Embed" ProgID="Visio.Drawing.11" ShapeID="Object 68" DrawAspect="Content" ObjectID="_1468075725" r:id="rId8">
            <o:LockedField>false</o:LockedField>
          </o:OLEObject>
        </w:pict>
      </w:r>
    </w:p>
    <w:p>
      <w:pPr>
        <w:spacing w:line="480" w:lineRule="atLeast"/>
        <w:jc w:val="center"/>
        <w:rPr>
          <w:rFonts w:hint="default" w:ascii="Times New Roman" w:hAnsi="Times New Roman" w:eastAsia="宋体" w:cs="Times New Roman"/>
          <w:sz w:val="24"/>
          <w:szCs w:val="24"/>
        </w:rPr>
      </w:pPr>
    </w:p>
    <w:p>
      <w:pPr>
        <w:pStyle w:val="7"/>
        <w:rPr>
          <w:rFonts w:hint="eastAsia"/>
          <w:lang w:eastAsia="zh-CN"/>
        </w:rPr>
      </w:pPr>
    </w:p>
    <w:p>
      <w:pPr>
        <w:pStyle w:val="7"/>
        <w:rPr>
          <w:rFonts w:hint="eastAsia"/>
          <w:lang w:eastAsia="zh-CN"/>
        </w:rPr>
      </w:pPr>
    </w:p>
    <w:p>
      <w:pPr>
        <w:pStyle w:val="7"/>
        <w:rPr>
          <w:rFonts w:hint="eastAsia"/>
          <w:lang w:eastAsia="zh-CN"/>
        </w:rPr>
      </w:pPr>
    </w:p>
    <w:p>
      <w:pPr>
        <w:pStyle w:val="7"/>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本项目原材料包括聚乙烯颗粒、阻燃剂、抗氧剂、色母粒，经汽车运输至厂区库房暂存，备用。</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①投料：采用人工投料方式，按照一定比例将原材料加入拌料机内，原材料均为颗粒状，投料过程不会有粉尘产生。</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该工序污染源为废包装袋，设备噪声。</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加热挤出：首先将拌料均匀后的物料经管道上料至双螺杆挤出机内，挤出成条，经循环经冷却水冷却后切断，备用。然后将挤出成条的物料送至单螺杆挤管机内，熔融状态的物料通过固定界面模具挤出后即可得到管材，挤出时需进行冷却(循环冷却水冷却)。挤出机采用电加热，加热温度为150-160℃。</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该工序污染源为挤出过程产生的有机废气，设备噪声。</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③扩张：挤出后的管材经缠管机进行收线成盘备用。利用缠管机往扩张机中放管，通过扩张机对热缩套管进行扩径(根据订单要求，直径为1-200mm)，扩张温度为90℃左右，采用电加热。</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该工序污染源为扩张过程产生的有机废气，设备噪声。</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④检验、裁切：对扩张后的热缩套管进行物理检验，不合格产品送至粉碎机进行粉碎，合格产品经人工采用刀片式裁切刀进行裁切。</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该工序污染源为不合格产品、边角料。</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⑤包装入库：按照订单裁切完成的产品经包装机进行包装，完后运至库房。</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⑥粉碎：生产过程中产生的不合格产品和边角料经粉碎机粉碎后得到大块塑料，回用于生产。粉碎机运行原理主要为剪切、碾碎作用，将边角料粉碎成塑料大颗粒，不形成粉末，该工序不产生粉尘。</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该工序污染源为设备噪声。</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每天三班，每班8小时</w:t>
      </w:r>
      <w:r>
        <w:rPr>
          <w:rFonts w:hint="default" w:ascii="Times New Roman" w:hAnsi="Times New Roman" w:eastAsia="宋体" w:cs="Times New Roman"/>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504325335"/>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排水：项目冷却用水循环使用，不外排，定期补充新鲜水；职工生活污水全部用于厂区泼洒抑尘，厂区设有防渗旱厕，定期清掏，不外排</w:t>
      </w:r>
      <w:r>
        <w:rPr>
          <w:rFonts w:hint="eastAsia" w:ascii="Times New Roman" w:hAnsi="Times New Roman" w:eastAsia="宋体" w:cs="Times New Roman"/>
          <w:sz w:val="24"/>
          <w:szCs w:val="24"/>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7001448"/>
      <w:bookmarkStart w:id="31" w:name="_Toc496979012"/>
      <w:bookmarkStart w:id="32" w:name="_Toc504325336"/>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由当地电网供给</w:t>
      </w:r>
      <w:r>
        <w:rPr>
          <w:rFonts w:hint="default" w:ascii="Times New Roman" w:hAnsi="Times New Roman" w:eastAsia="宋体" w:cs="Times New Roman"/>
          <w:szCs w:val="21"/>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于2022年12月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2023年02月03日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河间市行政审批局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河审批（环评—表）[2023]第15号</w:t>
      </w:r>
      <w:r>
        <w:rPr>
          <w:rFonts w:hint="default" w:ascii="Times New Roman" w:hAnsi="Times New Roman" w:eastAsia="宋体" w:cs="Times New Roman"/>
          <w:sz w:val="24"/>
          <w:szCs w:val="24"/>
        </w:rPr>
        <w:t>。</w:t>
      </w:r>
    </w:p>
    <w:p>
      <w:pPr>
        <w:rPr>
          <w:rFonts w:hint="default" w:ascii="Times New Roman" w:hAnsi="Times New Roman" w:cs="Times New Roman"/>
        </w:rPr>
      </w:pPr>
      <w:bookmarkStart w:id="34" w:name="_Toc504325339"/>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50万元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双螺杆挤出机实际建设1台、单螺杆挤管机实际建设7台、缠管机实际建设7台、抖料机实际建设1台、扩张机实际建设8台，企业承诺剩余内容不在建设，其余建设内容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snapToGrid w:val="0"/>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1"/>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522"/>
        <w:gridCol w:w="1144"/>
        <w:gridCol w:w="1811"/>
        <w:gridCol w:w="277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517" w:firstLineChars="245"/>
              <w:textAlignment w:val="auto"/>
              <w:rPr>
                <w:rFonts w:hint="default" w:ascii="Times New Roman" w:hAnsi="Times New Roman" w:eastAsia="宋体" w:cs="Times New Roman"/>
                <w:b/>
                <w:color w:val="auto"/>
                <w:sz w:val="21"/>
                <w:szCs w:val="21"/>
              </w:rPr>
            </w:pPr>
            <w:bookmarkStart w:id="38" w:name="_Toc504325342"/>
            <w:r>
              <w:rPr>
                <w:rFonts w:hint="default" w:ascii="Times New Roman" w:hAnsi="Times New Roman" w:eastAsia="宋体" w:cs="Times New Roman"/>
                <w:b/>
                <w:color w:val="auto"/>
                <w:sz w:val="21"/>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要素</w:t>
            </w:r>
          </w:p>
        </w:tc>
        <w:tc>
          <w:tcPr>
            <w:tcW w:w="1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排放口（编号、名称）/污染源</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污染物项目</w:t>
            </w:r>
          </w:p>
        </w:tc>
        <w:tc>
          <w:tcPr>
            <w:tcW w:w="18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环境保护措施</w:t>
            </w:r>
          </w:p>
        </w:tc>
        <w:tc>
          <w:tcPr>
            <w:tcW w:w="2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522"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挤出、扩张工序</w:t>
            </w:r>
            <w:r>
              <w:rPr>
                <w:rFonts w:hint="default" w:ascii="Times New Roman" w:hAnsi="Times New Roman" w:eastAsia="宋体" w:cs="Times New Roman"/>
                <w:sz w:val="21"/>
                <w:szCs w:val="21"/>
              </w:rPr>
              <w:t>废气排放口DA001</w:t>
            </w:r>
          </w:p>
        </w:tc>
        <w:tc>
          <w:tcPr>
            <w:tcW w:w="1144" w:type="dxa"/>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非甲烷总烃</w:t>
            </w:r>
          </w:p>
        </w:tc>
        <w:tc>
          <w:tcPr>
            <w:tcW w:w="1811"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集气罩+软帘收集+二级活性炭吸附+15m高排气筒</w:t>
            </w:r>
          </w:p>
        </w:tc>
        <w:tc>
          <w:tcPr>
            <w:tcW w:w="2777"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《合成树脂工业污染物排放标准》(GB31572-2015)表5大气污染物特别排放限值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52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生产车间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无组织废气</w:t>
            </w:r>
          </w:p>
        </w:tc>
        <w:tc>
          <w:tcPr>
            <w:tcW w:w="114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81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777"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《工业企业挥发性有机物排放控制标准》（DB13/2322-2016）中表2其他企业边界大气污染物浓度限值</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5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c>
          <w:tcPr>
            <w:tcW w:w="114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8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777"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《挥发性有机物无组织排放控制标准》（GB37822-2019）中表A.1厂区内VOCs无组织排放限值要求</w:t>
            </w:r>
          </w:p>
        </w:tc>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地表水环境</w:t>
            </w:r>
          </w:p>
        </w:tc>
        <w:tc>
          <w:tcPr>
            <w:tcW w:w="1522"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冷却用水</w:t>
            </w:r>
          </w:p>
        </w:tc>
        <w:tc>
          <w:tcPr>
            <w:tcW w:w="1144"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SS</w:t>
            </w:r>
          </w:p>
        </w:tc>
        <w:tc>
          <w:tcPr>
            <w:tcW w:w="1811"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循环使用</w:t>
            </w:r>
          </w:p>
        </w:tc>
        <w:tc>
          <w:tcPr>
            <w:tcW w:w="2777"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不外排</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522"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生活污水</w:t>
            </w:r>
          </w:p>
        </w:tc>
        <w:tc>
          <w:tcPr>
            <w:tcW w:w="1144" w:type="dxa"/>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SS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氨氮</w:t>
            </w:r>
          </w:p>
        </w:tc>
        <w:tc>
          <w:tcPr>
            <w:tcW w:w="1811"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泼洒抑尘，厂区设防渗旱厕，定期清掏</w:t>
            </w:r>
          </w:p>
        </w:tc>
        <w:tc>
          <w:tcPr>
            <w:tcW w:w="2777"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不外排</w:t>
            </w:r>
          </w:p>
        </w:tc>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声环境</w:t>
            </w:r>
          </w:p>
        </w:tc>
        <w:tc>
          <w:tcPr>
            <w:tcW w:w="1522"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设备噪声</w:t>
            </w:r>
          </w:p>
        </w:tc>
        <w:tc>
          <w:tcPr>
            <w:tcW w:w="1144" w:type="dxa"/>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等效连续</w:t>
            </w:r>
          </w:p>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A声级</w:t>
            </w:r>
          </w:p>
        </w:tc>
        <w:tc>
          <w:tcPr>
            <w:tcW w:w="1811" w:type="dxa"/>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w:t>
            </w:r>
          </w:p>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厂房隔声</w:t>
            </w:r>
          </w:p>
        </w:tc>
        <w:tc>
          <w:tcPr>
            <w:tcW w:w="2777" w:type="dxa"/>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《工业企业厂界环境噪声排放标准》(GB12348-2008)中2类区标准排放限值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固体废物</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一般固体废物：原料废包装袋经收集后外售综合利用；不合格产品和边角料经收集后，利用粉碎机进行粉碎处理，回用于生产；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危险废物：废活性炭采用密封胶袋包装，暂存于危废暂存间，定期交有资质单位清运处置；</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生活垃圾：统一收集后由当地环卫部门清运处理。</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254" w:type="dxa"/>
            <w:gridSpan w:val="4"/>
            <w:noWrap w:val="0"/>
            <w:vAlign w:val="center"/>
          </w:tcPr>
          <w:p>
            <w:pPr>
              <w:adjustRightInd w:val="0"/>
              <w:snapToGrid w:val="0"/>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①重点防渗区，危废暂存间作重点防渗，加强防渗措施日常维护，渗透系数≤10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②一般防渗区，包括办公区、</w:t>
            </w:r>
            <w:r>
              <w:rPr>
                <w:rFonts w:hint="default" w:ascii="Times New Roman" w:hAnsi="Times New Roman" w:eastAsia="宋体" w:cs="Times New Roman"/>
                <w:sz w:val="21"/>
                <w:szCs w:val="21"/>
                <w:lang w:val="en-US" w:eastAsia="zh-CN"/>
              </w:rPr>
              <w:t>库房、</w:t>
            </w:r>
            <w:r>
              <w:rPr>
                <w:rFonts w:hint="default" w:ascii="Times New Roman" w:hAnsi="Times New Roman" w:eastAsia="宋体" w:cs="Times New Roman"/>
                <w:sz w:val="21"/>
                <w:szCs w:val="21"/>
              </w:rPr>
              <w:t>生产车间采用地面硬化处理，循环水池采取防渗处理，加强防渗措施日常维护，达到渗透系数≤10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cm/s的要求</w:t>
            </w:r>
            <w:r>
              <w:rPr>
                <w:rFonts w:hint="default" w:ascii="Times New Roman" w:hAnsi="Times New Roman" w:eastAsia="宋体" w:cs="Times New Roman"/>
                <w:color w:val="auto"/>
                <w:sz w:val="21"/>
                <w:szCs w:val="21"/>
              </w:rPr>
              <w:t>。</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已做防渗及硬化处理</w:t>
            </w:r>
          </w:p>
        </w:tc>
      </w:tr>
    </w:tbl>
    <w:p>
      <w:pPr>
        <w:rPr>
          <w:rFonts w:hint="default" w:ascii="Times New Roman" w:hAnsi="Times New Roman" w:cs="Times New Roman"/>
        </w:rPr>
      </w:pPr>
      <w:r>
        <w:rPr>
          <w:rFonts w:hint="default" w:ascii="Times New Roman" w:hAnsi="Times New Roman" w:cs="Times New Roman"/>
        </w:rPr>
        <w:br w:type="page"/>
      </w:r>
    </w:p>
    <w:p>
      <w:pPr>
        <w:pStyle w:val="4"/>
        <w:rPr>
          <w:rFonts w:hint="default" w:ascii="Times New Roman" w:hAnsi="Times New Roman" w:cs="Times New Roman"/>
        </w:rPr>
      </w:pPr>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河间市留古寺镇留古寺村</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项目冷却用水循环使用，不外排，定期补充新鲜水；项目废水主要为职工生活污水，水量较小，水质简单，全部用于厂区泼洒抑尘，不外排；厂区设防渗旱厕，定期清掏用作农肥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②废气──项目挤出工序和扩张工序产生的废气经集气罩+软帘收集后，经二级活性炭吸附处理，处理后由1根15m高排气筒（DA001）排放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4"/>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4"/>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5"/>
        <w:spacing w:line="440" w:lineRule="atLeast"/>
        <w:rPr>
          <w:rFonts w:hint="default" w:ascii="Times New Roman" w:hAnsi="Times New Roman" w:cs="Times New Roman"/>
        </w:rPr>
      </w:pPr>
      <w:bookmarkStart w:id="42" w:name="_Toc504325346"/>
      <w:bookmarkStart w:id="43" w:name="_Toc497001461"/>
      <w:bookmarkStart w:id="44" w:name="_Toc496979024"/>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项目冷却用水循环使用，不外排，定期补充新鲜水；项目废水主要为职工生活污水，水量较小，水质简单，全部用于厂区泼洒抑尘，不外排；厂区设防渗旱厕，定期清掏用作农肥。</w:t>
      </w:r>
    </w:p>
    <w:p>
      <w:pPr>
        <w:pStyle w:val="5"/>
        <w:rPr>
          <w:rFonts w:hint="default" w:ascii="Times New Roman" w:hAnsi="Times New Roman" w:cs="Times New Roman"/>
        </w:rPr>
      </w:pPr>
      <w:bookmarkStart w:id="45" w:name="_Toc497001462"/>
      <w:bookmarkStart w:id="46" w:name="_Toc496979025"/>
      <w:bookmarkStart w:id="47" w:name="_Toc504325347"/>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项目废气污染源为挤出、扩张工序产生的有机废气，主要污染物以非甲烷总烃计。挤出工序和扩张工序产生的废气经集气罩+软帘收集后，经二级活性炭吸附处理，处理后由1根15m高排气筒（DA001）排放</w:t>
      </w:r>
      <w:r>
        <w:rPr>
          <w:rFonts w:hint="default"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8" w:name="_Toc504325348"/>
      <w:bookmarkStart w:id="49" w:name="_Toc497001463"/>
      <w:bookmarkStart w:id="50" w:name="_Toc496979026"/>
      <w:r>
        <w:rPr>
          <w:rFonts w:hint="default" w:ascii="Times New Roman" w:hAnsi="Times New Roman" w:cs="Times New Roman"/>
        </w:rPr>
        <w:t>3.2.3噪声</w:t>
      </w:r>
      <w:bookmarkEnd w:id="48"/>
      <w:bookmarkEnd w:id="49"/>
      <w:bookmarkEnd w:id="50"/>
    </w:p>
    <w:p>
      <w:pPr>
        <w:pStyle w:val="60"/>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项目主要噪声源为双螺杆挤出机、单螺杆挤管机、扩张机、粉碎机等生产设备。本项目选取低噪声设备，并采取基础减振，厂房隔声等降噪措施后，排入周边环境</w:t>
      </w:r>
      <w:r>
        <w:rPr>
          <w:rFonts w:hint="default" w:ascii="Times New Roman" w:hAnsi="Times New Roman" w:eastAsia="宋体" w:cs="Times New Roman"/>
          <w:spacing w:val="0"/>
          <w:sz w:val="24"/>
          <w:szCs w:val="24"/>
        </w:rPr>
        <w:t>。</w:t>
      </w:r>
    </w:p>
    <w:p>
      <w:pPr>
        <w:pStyle w:val="5"/>
        <w:rPr>
          <w:rFonts w:hint="default" w:ascii="Times New Roman" w:hAnsi="Times New Roman" w:cs="Times New Roman"/>
        </w:rPr>
      </w:pPr>
      <w:bookmarkStart w:id="52" w:name="_Toc504325349"/>
      <w:bookmarkStart w:id="53" w:name="_Toc497001464"/>
      <w:r>
        <w:rPr>
          <w:rFonts w:hint="default" w:ascii="Times New Roman" w:hAnsi="Times New Roman" w:cs="Times New Roman"/>
        </w:rPr>
        <w:t>3.2.4固体废物</w:t>
      </w:r>
      <w:bookmarkEnd w:id="51"/>
      <w:bookmarkEnd w:id="52"/>
      <w:bookmarkEnd w:id="53"/>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项目产生固体废物包括原料废包装袋、不合格产品、边角料、废活性炭和职工生活垃圾。</w:t>
      </w:r>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一般固体废物：原料废包装袋经收集后外售综合利用；不合格产品和边角料经收集后，利用粉碎机进行粉碎处理，回用于生产；</w:t>
      </w:r>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危险废物：废活性炭采用密封胶袋包装，暂存于危废暂存间，定期交有资质单位清运处置；</w:t>
      </w:r>
    </w:p>
    <w:p>
      <w:pPr>
        <w:pStyle w:val="39"/>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生活垃圾：统一收集后由当地环卫部门清运处理</w:t>
      </w:r>
      <w:r>
        <w:rPr>
          <w:rFonts w:hint="eastAsia" w:ascii="Times New Roman" w:hAnsi="Times New Roman" w:cs="Times New Roman"/>
          <w:spacing w:val="0"/>
          <w:kern w:val="2"/>
          <w:sz w:val="24"/>
          <w:szCs w:val="24"/>
          <w:lang w:val="en-US" w:eastAsia="zh-CN" w:bidi="ar-SA"/>
        </w:rPr>
        <w:t>。</w:t>
      </w:r>
    </w:p>
    <w:bookmarkEnd w:id="54"/>
    <w:p>
      <w:pPr>
        <w:pStyle w:val="7"/>
        <w:rPr>
          <w:rFonts w:hint="eastAsia" w:ascii="Times New Roman" w:hAnsi="Times New Roman" w:eastAsia="宋体" w:cs="Times New Roman"/>
          <w:sz w:val="24"/>
          <w:szCs w:val="24"/>
          <w:lang w:eastAsia="zh-CN"/>
        </w:rPr>
      </w:pPr>
      <w:bookmarkStart w:id="55" w:name="_Toc504325351"/>
    </w:p>
    <w:p>
      <w:pPr>
        <w:pStyle w:val="7"/>
        <w:rPr>
          <w:rFonts w:hint="default" w:ascii="Times New Roman" w:hAnsi="Times New Roman" w:cs="Times New Roman"/>
        </w:rPr>
      </w:pPr>
    </w:p>
    <w:p>
      <w:pPr>
        <w:pStyle w:val="7"/>
        <w:rPr>
          <w:rFonts w:hint="default" w:ascii="Times New Roman" w:hAnsi="Times New Roman" w:cs="Times New Roman"/>
        </w:rPr>
      </w:pPr>
    </w:p>
    <w:p>
      <w:pPr>
        <w:pStyle w:val="7"/>
        <w:jc w:val="center"/>
        <w:rPr>
          <w:rFonts w:hint="default" w:ascii="Times New Roman" w:hAnsi="Times New Roman" w:cs="Times New Roman"/>
        </w:rPr>
      </w:pPr>
    </w:p>
    <w:p>
      <w:pPr>
        <w:pStyle w:val="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497001467"/>
      <w:bookmarkStart w:id="58" w:name="_Toc496979030"/>
      <w:bookmarkStart w:id="59" w:name="_Toc504325353"/>
      <w:r>
        <w:rPr>
          <w:rFonts w:hint="default" w:ascii="Times New Roman" w:hAnsi="Times New Roman" w:cs="Times New Roman"/>
        </w:rPr>
        <w:t>4.1.1主要结论</w:t>
      </w:r>
      <w:bookmarkEnd w:id="57"/>
      <w:bookmarkEnd w:id="58"/>
      <w:bookmarkEnd w:id="59"/>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7001468"/>
      <w:bookmarkStart w:id="61" w:name="_Toc504325354"/>
      <w:bookmarkStart w:id="62" w:name="_Toc496979031"/>
      <w:r>
        <w:rPr>
          <w:rFonts w:hint="default" w:ascii="Times New Roman" w:hAnsi="Times New Roman" w:eastAsia="宋体" w:cs="Times New Roman"/>
          <w:sz w:val="24"/>
          <w:szCs w:val="24"/>
          <w:lang w:val="en-US"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r>
        <w:rPr>
          <w:rFonts w:hint="eastAsia" w:ascii="Times New Roman" w:hAnsi="Times New Roman" w:cs="Times New Roman"/>
          <w:sz w:val="24"/>
          <w:szCs w:val="24"/>
          <w:lang w:val="en-US" w:eastAsia="zh-CN"/>
        </w:rPr>
        <w:t>。</w:t>
      </w:r>
    </w:p>
    <w:bookmarkEnd w:id="60"/>
    <w:bookmarkEnd w:id="61"/>
    <w:bookmarkEnd w:id="62"/>
    <w:p>
      <w:pPr>
        <w:pStyle w:val="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2023年02月03日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河间市行政审批局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河审批（环评—表）[2023]第15号。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沧州奥裕电力器材有限公司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河间市留古寺镇留古寺村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9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废气：挤出、扩张工序废气经集气罩+软帘收集后经一套二级活性炭吸附装置处理后通过一根15m高排气筒排放，非甲烷总烃排放要达到《合成树脂工业污染物排放标准》（GB31572-2015)表5大气污染物特别排放限值要求；厂界无组织非甲烷总烃排放满足《工业企业挥发性有机物排放控制标准》（DB13/2322-2016）表2其他企业边界大气污染浓度限值要求，非甲烷总烃厂区内无组织排放同时满足《挥发性有机物无组织排放控制标准》（GB37822-2019）表A.1厂区内VOCs无组织排放限值要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w:t>
            </w:r>
            <w:r>
              <w:rPr>
                <w:rFonts w:hint="eastAsia" w:ascii="Times New Roman" w:hAnsi="Times New Roman" w:eastAsia="宋体" w:cs="Times New Roman"/>
                <w:color w:val="000000" w:themeColor="text1"/>
                <w:szCs w:val="21"/>
                <w:lang w:val="zh-CN" w:eastAsia="zh-CN"/>
                <w14:textFill>
                  <w14:solidFill>
                    <w14:schemeClr w14:val="tx1"/>
                  </w14:solidFill>
                </w14:textFill>
              </w:rPr>
              <w:t>冷却用水循环使用，不得外排；生活污水排入防渗旱厕，定期清掏。</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7"/>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4"/>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5"/>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7001475"/>
      <w:bookmarkStart w:id="72"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《合成树脂工业污染物排放标准》(GB31572-2015)表5大气污染物特别排放限值；《工业企业挥发性有机物排放控制标准》（DB 13/2322-2016）表2其他企业边界大气污染物浓度限值；《挥发性有机物无组织排放控制标准》（GB 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1"/>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挤出、扩张工序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《合成树脂工业污染物排放标准》(GB31572-2015)表5大气污染物特别排放限值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pStyle w:val="5"/>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3"/>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4"/>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本项目建议污染物排放总量控制指标为：化学需氧量：0t/a，氨氮：0t/a，二氧化硫：0t/a，氮氧化物：0t/a，特征污染物总量控制建议指标为非甲烷总烃4.320t/a</w:t>
      </w:r>
      <w:r>
        <w:rPr>
          <w:rFonts w:hint="default" w:ascii="Times New Roman" w:hAnsi="Times New Roman" w:eastAsia="宋体" w:cs="Times New Roman"/>
          <w:sz w:val="24"/>
          <w:szCs w:val="24"/>
          <w:lang w:val="en-US" w:eastAsia="zh-CN"/>
        </w:rPr>
        <w:t>。</w:t>
      </w:r>
    </w:p>
    <w:p>
      <w:pPr>
        <w:pStyle w:val="3"/>
        <w:rPr>
          <w:rFonts w:hint="default" w:ascii="Times New Roman" w:hAnsi="Times New Roman" w:cs="Times New Roman"/>
        </w:rPr>
      </w:pPr>
      <w:bookmarkStart w:id="79" w:name="_Toc504325363"/>
      <w:r>
        <w:rPr>
          <w:rFonts w:hint="default" w:ascii="Times New Roman" w:hAnsi="Times New Roman" w:cs="Times New Roman"/>
        </w:rPr>
        <w:br w:type="page"/>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2023年02月20日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2023年02月21日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挤出、扩张工序废气排气筒进口</w:t>
            </w:r>
          </w:p>
        </w:tc>
        <w:tc>
          <w:tcPr>
            <w:tcW w:w="2140" w:type="dxa"/>
            <w:vAlign w:val="center"/>
          </w:tcPr>
          <w:p>
            <w:pPr>
              <w:snapToGrid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挤出、扩张工序废气排气筒出口</w:t>
            </w:r>
          </w:p>
        </w:tc>
        <w:tc>
          <w:tcPr>
            <w:tcW w:w="2140" w:type="dxa"/>
            <w:vAlign w:val="center"/>
          </w:tcPr>
          <w:p>
            <w:pPr>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5"/>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val="en-US" w:eastAsia="zh-CN"/>
              </w:rPr>
              <w:t>非甲烷总烃</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eastAsia="zh-CN"/>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YQ3000-C全自动烟尘（气）测试仪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029-01）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045-02）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GC-7820惠分气相色谱仪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（YQ 002-03）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GC-7820惠分气相色谱仪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（YQ 002-03）</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2"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AWA5688多功能声级计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035-02）</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036-03）</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FYF-1型轻便三杯风向风速表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038-02）</w:t>
            </w:r>
          </w:p>
        </w:tc>
      </w:tr>
    </w:tbl>
    <w:p>
      <w:pPr>
        <w:pStyle w:val="5"/>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rFonts w:hint="default" w:ascii="Times New Roman" w:hAnsi="Times New Roman" w:cs="Times New Roman"/>
          <w:b/>
          <w:spacing w:val="0"/>
          <w:sz w:val="28"/>
          <w:szCs w:val="28"/>
          <w:lang w:eastAsia="zh-CN"/>
        </w:rPr>
        <w:pict>
          <v:shape id="_x0000_s1026" o:spid="_x0000_s1026" o:spt="75" type="#_x0000_t75" style="position:absolute;left:0pt;margin-left:210.65pt;margin-top:6.25pt;height:242.55pt;width:193.5pt;z-index:-251651072;mso-width-relative:page;mso-height-relative:page;" o:ole="t" filled="f" o:preferrelative="t" stroked="f" coordsize="21600,21600">
            <v:path/>
            <v:fill on="f" focussize="0,0"/>
            <v:stroke on="f"/>
            <v:imagedata r:id="rId11" croptop="3689f" cropbottom="1316f" o:title=""/>
            <o:lock v:ext="edit" aspectratio="f"/>
          </v:shape>
          <o:OLEObject Type="Embed" ProgID="Visio.Drawing.11" ShapeID="_x0000_s1026" DrawAspect="Content" ObjectID="_1468075726" r:id="rId10">
            <o:LockedField>false</o:LockedField>
          </o:OLEObject>
        </w:pict>
      </w:r>
      <w:r>
        <w:rPr>
          <w:rFonts w:hint="default" w:ascii="Times New Roman" w:hAnsi="Times New Roman" w:cs="Times New Roman"/>
          <w:b/>
          <w:spacing w:val="0"/>
          <w:sz w:val="28"/>
          <w:szCs w:val="28"/>
          <w:lang w:eastAsia="zh-CN"/>
        </w:rPr>
        <w:pict>
          <v:shape id="Object 58" o:spid="_x0000_s1027" o:spt="75" type="#_x0000_t75" style="position:absolute;left:0pt;margin-left:10.85pt;margin-top:6.25pt;height:242.55pt;width:193.5pt;z-index:-251652096;mso-width-relative:page;mso-height-relative:page;" o:ole="t" filled="f" o:preferrelative="t" stroked="f" coordsize="21600,21600">
            <v:path/>
            <v:fill on="f" focussize="0,0"/>
            <v:stroke on="f"/>
            <v:imagedata r:id="rId13" croptop="3689f" cropbottom="1316f" o:title=""/>
            <o:lock v:ext="edit" aspectratio="f"/>
          </v:shape>
          <o:OLEObject Type="Embed" ProgID="Visio.Drawing.11" ShapeID="Object 58" DrawAspect="Content" ObjectID="_1468075727" r:id="rId12">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7"/>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497001486"/>
      <w:bookmarkStart w:id="91" w:name="_Toc504325371"/>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adjustRightInd w:val="0"/>
              <w:snapToGrid w:val="0"/>
              <w:spacing w:line="22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挤出、扩张工序</w:t>
            </w:r>
            <w:r>
              <w:rPr>
                <w:rFonts w:hint="default" w:ascii="Times New Roman" w:hAnsi="Times New Roman" w:eastAsia="宋体" w:cs="Times New Roman"/>
                <w:sz w:val="21"/>
                <w:szCs w:val="21"/>
              </w:rPr>
              <w:t>废气排气筒进口</w:t>
            </w:r>
          </w:p>
          <w:p>
            <w:pPr>
              <w:pStyle w:val="7"/>
              <w:ind w:left="0" w:leftChars="0"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2023.02.20</w:t>
            </w:r>
          </w:p>
        </w:tc>
        <w:tc>
          <w:tcPr>
            <w:tcW w:w="1969"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1851</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1985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kern w:val="0"/>
                <w:sz w:val="21"/>
                <w:szCs w:val="21"/>
                <w:lang w:val="en-US" w:eastAsia="zh-CN" w:bidi="ar"/>
              </w:rPr>
              <w:t>1919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1985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eastAsia="zh-CN"/>
              </w:rPr>
              <w:t>非甲烷总烃</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5.44</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6.63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kern w:val="0"/>
                <w:sz w:val="21"/>
                <w:szCs w:val="21"/>
                <w:lang w:val="en-US" w:eastAsia="zh-CN" w:bidi="ar"/>
              </w:rPr>
              <w:t>6.63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6.63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adjustRightInd w:val="0"/>
              <w:snapToGrid w:val="0"/>
              <w:spacing w:line="22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挤出、扩张工序</w:t>
            </w:r>
            <w:r>
              <w:rPr>
                <w:rFonts w:hint="default" w:ascii="Times New Roman" w:hAnsi="Times New Roman" w:eastAsia="宋体" w:cs="Times New Roman"/>
                <w:sz w:val="21"/>
                <w:szCs w:val="21"/>
              </w:rPr>
              <w:t>废气排气筒出口</w:t>
            </w:r>
          </w:p>
          <w:p>
            <w:pPr>
              <w:snapToGrid w:val="0"/>
              <w:spacing w:line="220" w:lineRule="exact"/>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2023.02.20</w:t>
            </w:r>
          </w:p>
        </w:tc>
        <w:tc>
          <w:tcPr>
            <w:tcW w:w="1969"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标干流量</w:t>
            </w:r>
          </w:p>
        </w:tc>
        <w:tc>
          <w:tcPr>
            <w:tcW w:w="727"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2014</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2078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2125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2125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非甲烷总烃排放浓度</w:t>
            </w:r>
          </w:p>
        </w:tc>
        <w:tc>
          <w:tcPr>
            <w:tcW w:w="727"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sz w:val="21"/>
                <w:szCs w:val="21"/>
                <w:lang w:val="en-US" w:eastAsia="zh-CN"/>
              </w:rPr>
              <w:t>3.16</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sz w:val="21"/>
                <w:szCs w:val="21"/>
                <w:lang w:val="en-US" w:eastAsia="zh-CN"/>
              </w:rPr>
              <w:t>3.29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eastAsia="宋体" w:cs="Times New Roman"/>
                <w:kern w:val="0"/>
                <w:sz w:val="21"/>
                <w:szCs w:val="21"/>
                <w:lang w:val="en-US" w:eastAsia="zh-CN" w:bidi="ar"/>
              </w:rPr>
              <w:t>2.95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3.29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 xml:space="preserve"> GB 31572-2015表5（60）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非甲烷总烃去除效率</w:t>
            </w:r>
          </w:p>
        </w:tc>
        <w:tc>
          <w:tcPr>
            <w:tcW w:w="727"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45.8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挤出、扩张工序</w:t>
            </w:r>
            <w:r>
              <w:rPr>
                <w:rFonts w:hint="default" w:ascii="Times New Roman" w:hAnsi="Times New Roman" w:eastAsia="宋体" w:cs="Times New Roman"/>
                <w:sz w:val="21"/>
                <w:szCs w:val="21"/>
                <w:lang w:val="en-US" w:eastAsia="zh-CN"/>
              </w:rPr>
              <w:t>废气排气筒进口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val="en-US" w:eastAsia="zh-CN"/>
              </w:rPr>
              <w:t>2023.02.21</w:t>
            </w:r>
          </w:p>
        </w:tc>
        <w:tc>
          <w:tcPr>
            <w:tcW w:w="1969" w:type="dxa"/>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1931</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lang w:val="en-US" w:eastAsia="zh-CN"/>
              </w:rPr>
              <w:t>1827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1897</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1931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非甲烷总烃</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6.73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lang w:val="en-US" w:eastAsia="zh-CN"/>
              </w:rPr>
              <w:t>6.71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6.65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6.73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adjustRightInd w:val="0"/>
              <w:snapToGrid w:val="0"/>
              <w:spacing w:line="22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挤出、扩张工序</w:t>
            </w:r>
            <w:r>
              <w:rPr>
                <w:rFonts w:hint="default" w:ascii="Times New Roman" w:hAnsi="Times New Roman" w:eastAsia="宋体" w:cs="Times New Roman"/>
                <w:sz w:val="21"/>
                <w:szCs w:val="21"/>
              </w:rPr>
              <w:t>废气排气筒出口</w:t>
            </w:r>
          </w:p>
          <w:p>
            <w:pPr>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eastAsia="zh-CN"/>
              </w:rPr>
              <w:t>2023.02.21</w:t>
            </w:r>
          </w:p>
        </w:tc>
        <w:tc>
          <w:tcPr>
            <w:tcW w:w="1969"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标干流量</w:t>
            </w:r>
          </w:p>
        </w:tc>
        <w:tc>
          <w:tcPr>
            <w:tcW w:w="727"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2103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2039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2134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2134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 w:val="21"/>
                <w:szCs w:val="21"/>
              </w:rPr>
              <w:t>非甲烷总烃排放浓度</w:t>
            </w:r>
          </w:p>
        </w:tc>
        <w:tc>
          <w:tcPr>
            <w:tcW w:w="727" w:type="dxa"/>
            <w:vAlign w:val="center"/>
          </w:tcPr>
          <w:p>
            <w:pPr>
              <w:spacing w:line="2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sz w:val="21"/>
                <w:szCs w:val="21"/>
                <w:lang w:val="en-US" w:eastAsia="zh-CN"/>
              </w:rPr>
              <w:t>3.37</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sz w:val="21"/>
                <w:szCs w:val="21"/>
                <w:lang w:val="en-US" w:eastAsia="zh-CN"/>
              </w:rPr>
              <w:t>3.61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eastAsia="宋体" w:cs="Times New Roman"/>
                <w:kern w:val="0"/>
                <w:sz w:val="21"/>
                <w:szCs w:val="21"/>
                <w:lang w:val="en-US" w:eastAsia="zh-CN" w:bidi="ar"/>
              </w:rPr>
              <w:t>3.44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3.61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 xml:space="preserve"> GB 31572-2015表5（60）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非甲烷总烃去除效率</w:t>
            </w:r>
          </w:p>
        </w:tc>
        <w:tc>
          <w:tcPr>
            <w:tcW w:w="727" w:type="dxa"/>
            <w:vAlign w:val="center"/>
          </w:tcPr>
          <w:p>
            <w:pPr>
              <w:spacing w:line="22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42.5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1499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7200小时</w:t>
            </w:r>
            <w:r>
              <w:rPr>
                <w:rFonts w:hint="default" w:ascii="Times New Roman" w:hAnsi="Times New Roman" w:eastAsia="宋体" w:cs="Times New Roman"/>
                <w:b w:val="0"/>
                <w:bCs/>
                <w:spacing w:val="0"/>
                <w:sz w:val="21"/>
                <w:szCs w:val="21"/>
                <w:highlight w:val="none"/>
                <w:lang w:val="en-US" w:eastAsia="zh-CN"/>
              </w:rPr>
              <w:t>；</w:t>
            </w:r>
          </w:p>
        </w:tc>
      </w:tr>
    </w:tbl>
    <w:p>
      <w:pPr>
        <w:rPr>
          <w:rFonts w:hint="default" w:ascii="Times New Roman" w:hAnsi="Times New Roman" w:cs="Times New Roman"/>
        </w:rPr>
      </w:pPr>
      <w:bookmarkStart w:id="92" w:name="_Toc504325372"/>
      <w:bookmarkStart w:id="93" w:name="_Toc503681484"/>
      <w:bookmarkStart w:id="94" w:name="_Toc503969735"/>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497001489"/>
      <w:bookmarkStart w:id="96" w:name="_Toc504325373"/>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936"/>
        <w:gridCol w:w="1800"/>
        <w:gridCol w:w="1800"/>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936"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401"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936"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800"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800"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801"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2023.02.20</w:t>
            </w: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厂界下风向</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监控点</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1.00</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0.84</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厂界下风向</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监控点</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2#</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0.81</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1.05</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厂界下风向</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监控点</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3#</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0.90</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0.82</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生产</w:t>
            </w:r>
            <w:r>
              <w:rPr>
                <w:rFonts w:hint="default" w:ascii="Times New Roman" w:hAnsi="Times New Roman" w:eastAsia="宋体" w:cs="Times New Roman"/>
                <w:b w:val="0"/>
                <w:bCs/>
                <w:sz w:val="21"/>
                <w:szCs w:val="21"/>
              </w:rPr>
              <w:t>车间门口外1m</w:t>
            </w:r>
            <w:r>
              <w:rPr>
                <w:rFonts w:hint="eastAsia" w:ascii="Times New Roman" w:hAnsi="Times New Roman" w:eastAsia="宋体" w:cs="Times New Roman"/>
                <w:b w:val="0"/>
                <w:bCs/>
                <w:sz w:val="21"/>
                <w:szCs w:val="21"/>
              </w:rPr>
              <w:t>处</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w:t>
            </w:r>
            <w:r>
              <w:rPr>
                <w:rFonts w:hint="eastAsia" w:ascii="Times New Roman" w:hAnsi="Times New Roman" w:eastAsia="宋体" w:cs="Times New Roman"/>
                <w:b w:val="0"/>
                <w:bCs/>
                <w:sz w:val="21"/>
                <w:szCs w:val="21"/>
                <w:lang w:val="en-US" w:eastAsia="zh-CN"/>
              </w:rPr>
              <w:t>4</w:t>
            </w:r>
            <w:r>
              <w:rPr>
                <w:rFonts w:hint="default" w:ascii="Times New Roman" w:hAnsi="Times New Roman" w:eastAsia="宋体" w:cs="Times New Roman"/>
                <w:b w:val="0"/>
                <w:bCs/>
                <w:sz w:val="21"/>
                <w:szCs w:val="21"/>
              </w:rPr>
              <w:t>#</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2.22</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1.97</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2023.02.21</w:t>
            </w: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厂界下风向</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监控点</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1.05</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1.02</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厂界下风向</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监控点</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2#</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0.96</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0.80</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厂界下风向</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监控点</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3#</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1.04</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1.00</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1936" w:type="dxa"/>
            <w:vAlign w:val="center"/>
          </w:tcPr>
          <w:p>
            <w:pPr>
              <w:spacing w:line="240" w:lineRule="exact"/>
              <w:jc w:val="center"/>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生产</w:t>
            </w:r>
            <w:r>
              <w:rPr>
                <w:rFonts w:hint="default" w:ascii="Times New Roman" w:hAnsi="Times New Roman" w:eastAsia="宋体" w:cs="Times New Roman"/>
                <w:b w:val="0"/>
                <w:bCs/>
                <w:sz w:val="21"/>
                <w:szCs w:val="21"/>
              </w:rPr>
              <w:t>车间门口外1m</w:t>
            </w:r>
            <w:r>
              <w:rPr>
                <w:rFonts w:hint="eastAsia" w:ascii="Times New Roman" w:hAnsi="Times New Roman" w:eastAsia="宋体" w:cs="Times New Roman"/>
                <w:b w:val="0"/>
                <w:bCs/>
                <w:sz w:val="21"/>
                <w:szCs w:val="21"/>
              </w:rPr>
              <w:t>处</w:t>
            </w:r>
          </w:p>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rPr>
              <w:t>●</w:t>
            </w:r>
            <w:r>
              <w:rPr>
                <w:rFonts w:hint="eastAsia" w:ascii="Times New Roman" w:hAnsi="Times New Roman" w:eastAsia="宋体" w:cs="Times New Roman"/>
                <w:b w:val="0"/>
                <w:bCs/>
                <w:sz w:val="21"/>
                <w:szCs w:val="21"/>
                <w:lang w:val="en-US" w:eastAsia="zh-CN"/>
              </w:rPr>
              <w:t>4</w:t>
            </w:r>
            <w:r>
              <w:rPr>
                <w:rFonts w:hint="default" w:ascii="Times New Roman" w:hAnsi="Times New Roman" w:eastAsia="宋体" w:cs="Times New Roman"/>
                <w:b w:val="0"/>
                <w:bCs/>
                <w:sz w:val="21"/>
                <w:szCs w:val="21"/>
              </w:rPr>
              <w:t>#</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2.00</w:t>
            </w:r>
          </w:p>
        </w:tc>
        <w:tc>
          <w:tcPr>
            <w:tcW w:w="1800"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1.77</w:t>
            </w:r>
          </w:p>
        </w:tc>
        <w:tc>
          <w:tcPr>
            <w:tcW w:w="1801"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1.86</w:t>
            </w:r>
          </w:p>
        </w:tc>
      </w:tr>
    </w:tbl>
    <w:p>
      <w:pPr>
        <w:pStyle w:val="5"/>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2"/>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2023.02.20</w:t>
            </w:r>
          </w:p>
        </w:tc>
        <w:tc>
          <w:tcPr>
            <w:tcW w:w="2255"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2023.02.21</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8"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北</w:t>
            </w:r>
            <w:r>
              <w:rPr>
                <w:rFonts w:hint="default" w:ascii="Times New Roman" w:hAnsi="Times New Roman" w:eastAsia="宋体" w:cs="Times New Roman"/>
              </w:rPr>
              <w:t>厂界外1m处（▲1#）</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57.1</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47.6</w:t>
            </w:r>
          </w:p>
        </w:tc>
        <w:tc>
          <w:tcPr>
            <w:tcW w:w="1127"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57.3</w:t>
            </w:r>
          </w:p>
        </w:tc>
        <w:tc>
          <w:tcPr>
            <w:tcW w:w="1128"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47.3</w:t>
            </w:r>
          </w:p>
        </w:tc>
        <w:tc>
          <w:tcPr>
            <w:tcW w:w="1341" w:type="dxa"/>
            <w:vMerge w:val="restar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rPr>
              <w:t>昼间：</w:t>
            </w:r>
            <w:r>
              <w:rPr>
                <w:rFonts w:hint="eastAsia" w:ascii="Times New Roman" w:hAnsi="Times New Roman" w:eastAsia="宋体" w:cs="Times New Roman"/>
                <w:lang w:val="en-US" w:eastAsia="zh-CN"/>
              </w:rPr>
              <w:t>60</w:t>
            </w:r>
          </w:p>
          <w:p>
            <w:pPr>
              <w:spacing w:line="24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lang w:val="en-US" w:eastAsia="zh-CN"/>
              </w:rPr>
              <w:t>夜间：50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西</w:t>
            </w:r>
            <w:r>
              <w:rPr>
                <w:rFonts w:hint="default" w:ascii="Times New Roman" w:hAnsi="Times New Roman" w:eastAsia="宋体" w:cs="Times New Roman"/>
              </w:rPr>
              <w:t>厂界外1m处（▲</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56.5</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45.9</w:t>
            </w:r>
          </w:p>
        </w:tc>
        <w:tc>
          <w:tcPr>
            <w:tcW w:w="1127"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56.6</w:t>
            </w:r>
          </w:p>
        </w:tc>
        <w:tc>
          <w:tcPr>
            <w:tcW w:w="1128"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46.5</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南</w:t>
            </w:r>
            <w:r>
              <w:rPr>
                <w:rFonts w:hint="default" w:ascii="Times New Roman" w:hAnsi="Times New Roman" w:eastAsia="宋体" w:cs="Times New Roman"/>
              </w:rPr>
              <w:t>厂界外1m处（▲</w:t>
            </w:r>
            <w:r>
              <w:rPr>
                <w:rFonts w:hint="eastAsia" w:ascii="Times New Roman" w:hAnsi="Times New Roman" w:eastAsia="宋体" w:cs="Times New Roman"/>
                <w:lang w:val="en-US" w:eastAsia="zh-CN"/>
              </w:rPr>
              <w:t>3</w:t>
            </w:r>
            <w:r>
              <w:rPr>
                <w:rFonts w:hint="default" w:ascii="Times New Roman" w:hAnsi="Times New Roman" w:eastAsia="宋体" w:cs="Times New Roman"/>
              </w:rPr>
              <w:t>#）</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54.3</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43.7</w:t>
            </w:r>
          </w:p>
        </w:tc>
        <w:tc>
          <w:tcPr>
            <w:tcW w:w="1127"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53.3</w:t>
            </w:r>
          </w:p>
        </w:tc>
        <w:tc>
          <w:tcPr>
            <w:tcW w:w="1128"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43.8</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东</w:t>
            </w:r>
            <w:r>
              <w:rPr>
                <w:rFonts w:hint="default" w:ascii="Times New Roman" w:hAnsi="Times New Roman" w:eastAsia="宋体" w:cs="Times New Roman"/>
              </w:rPr>
              <w:t>厂界外1m处（▲</w:t>
            </w:r>
            <w:r>
              <w:rPr>
                <w:rFonts w:hint="eastAsia" w:ascii="Times New Roman" w:hAnsi="Times New Roman" w:eastAsia="宋体" w:cs="Times New Roman"/>
                <w:lang w:val="en-US" w:eastAsia="zh-CN"/>
              </w:rPr>
              <w:t>4</w:t>
            </w:r>
            <w:r>
              <w:rPr>
                <w:rFonts w:hint="default" w:ascii="Times New Roman" w:hAnsi="Times New Roman" w:eastAsia="宋体" w:cs="Times New Roman"/>
              </w:rPr>
              <w:t>#）</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56.1</w:t>
            </w:r>
          </w:p>
        </w:tc>
        <w:tc>
          <w:tcPr>
            <w:tcW w:w="1127" w:type="dxa"/>
            <w:vAlign w:val="center"/>
          </w:tcPr>
          <w:p>
            <w:pPr>
              <w:adjustRightInd w:val="0"/>
              <w:snapToGrid w:val="0"/>
              <w:spacing w:line="220" w:lineRule="exact"/>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sz w:val="21"/>
                <w:szCs w:val="21"/>
                <w:lang w:val="en-US" w:eastAsia="zh-CN"/>
              </w:rPr>
              <w:t>45.8</w:t>
            </w:r>
          </w:p>
        </w:tc>
        <w:tc>
          <w:tcPr>
            <w:tcW w:w="1127"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55.4</w:t>
            </w:r>
          </w:p>
        </w:tc>
        <w:tc>
          <w:tcPr>
            <w:tcW w:w="1128" w:type="dxa"/>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45.3</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504325375"/>
      <w:bookmarkStart w:id="99" w:name="_Toc497001491"/>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00" w:name="_Toc15284"/>
      <w:bookmarkStart w:id="101" w:name="_Toc6889"/>
      <w:bookmarkStart w:id="102" w:name="_Toc6604"/>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挤出、扩张工序有机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eastAsia="宋体" w:cs="Times New Roman"/>
          <w:sz w:val="24"/>
          <w:szCs w:val="24"/>
          <w:lang w:eastAsia="zh-CN"/>
        </w:rPr>
        <w:t>集气罩</w:t>
      </w:r>
      <w:r>
        <w:rPr>
          <w:rFonts w:hint="eastAsia" w:ascii="Times New Roman" w:hAnsi="Times New Roman" w:eastAsia="宋体" w:cs="Times New Roman"/>
          <w:sz w:val="24"/>
          <w:szCs w:val="24"/>
          <w:lang w:val="en-US" w:eastAsia="zh-CN"/>
        </w:rPr>
        <w:t>+软帘</w:t>
      </w:r>
      <w:r>
        <w:rPr>
          <w:rFonts w:hint="eastAsia" w:ascii="Times New Roman" w:hAnsi="Times New Roman" w:eastAsia="宋体" w:cs="Times New Roman"/>
          <w:sz w:val="24"/>
          <w:szCs w:val="24"/>
          <w:lang w:eastAsia="zh-CN"/>
        </w:rPr>
        <w:t>收集后由二级</w:t>
      </w:r>
      <w:r>
        <w:rPr>
          <w:rFonts w:hint="eastAsia" w:ascii="Times New Roman" w:hAnsi="Times New Roman" w:eastAsia="宋体" w:cs="Times New Roman"/>
          <w:sz w:val="24"/>
          <w:szCs w:val="24"/>
          <w:lang w:val="en-US" w:eastAsia="zh-CN"/>
        </w:rPr>
        <w:t>活性炭</w:t>
      </w:r>
      <w:r>
        <w:rPr>
          <w:rFonts w:hint="eastAsia" w:ascii="Times New Roman" w:hAnsi="Times New Roman" w:eastAsia="宋体" w:cs="Times New Roman"/>
          <w:sz w:val="24"/>
          <w:szCs w:val="24"/>
          <w:lang w:eastAsia="zh-CN"/>
        </w:rPr>
        <w:t>吸附装置处理后由1根</w:t>
      </w:r>
      <w:r>
        <w:rPr>
          <w:rFonts w:hint="eastAsia" w:ascii="Times New Roman" w:hAnsi="Times New Roman" w:eastAsia="宋体" w:cs="Times New Roman"/>
          <w:sz w:val="24"/>
          <w:szCs w:val="24"/>
          <w:lang w:val="en-US" w:eastAsia="zh-CN"/>
        </w:rPr>
        <w:t>15</w:t>
      </w:r>
      <w:r>
        <w:rPr>
          <w:rFonts w:hint="eastAsia" w:ascii="Times New Roman" w:hAnsi="Times New Roman" w:eastAsia="宋体" w:cs="Times New Roman"/>
          <w:sz w:val="24"/>
          <w:szCs w:val="24"/>
          <w:lang w:eastAsia="zh-CN"/>
        </w:rPr>
        <w:t>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3.61</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满足《合成树脂工业污染物排放标准》（GB 31572-2015）表5大气污染物特别排放限值（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项目项目</w:t>
      </w:r>
      <w:r>
        <w:rPr>
          <w:rFonts w:hint="default" w:ascii="Times New Roman" w:hAnsi="Times New Roman" w:eastAsia="宋体" w:cs="Times New Roman"/>
          <w:sz w:val="24"/>
          <w:szCs w:val="24"/>
        </w:rPr>
        <w:t>无组织非甲烷总烃最高排放浓度为</w:t>
      </w:r>
      <w:r>
        <w:rPr>
          <w:rFonts w:hint="eastAsia" w:ascii="Times New Roman" w:hAnsi="Times New Roman" w:eastAsia="宋体" w:cs="Times New Roman"/>
          <w:sz w:val="24"/>
          <w:szCs w:val="24"/>
          <w:lang w:val="en-US" w:eastAsia="zh-CN"/>
        </w:rPr>
        <w:t>1.10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eastAsia" w:ascii="Times New Roman" w:hAnsi="Times New Roman" w:eastAsia="宋体" w:cs="Times New Roman"/>
          <w:sz w:val="24"/>
          <w:szCs w:val="24"/>
          <w:lang w:val="en-US" w:eastAsia="zh-CN"/>
        </w:rPr>
        <w:t>2.22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满足《挥发性有机物无组织排放控制标准》（GB37822-2019）表A.1厂区内VOC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北、东、南、西方向各设1个监测点位，各点位昼间、夜间噪声值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，夜间：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全厂污染物总量控制指标建议为：化学需氧量：0t/a、氨氮：0t/a、二氧化硫：0t/a、氮氧化物：0t/a、非甲烷总烃：4.320t/a。</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项目实际排放污染物总量为：化学需氧量：0t/a、氨氮：0t/a、二氧化硫：0t/a、氮氧化物：0t/a、非甲烷总烃：0.050t/a。满足环评中总量控制要求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沧州奥裕电力器材有限公司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412705194"/>
      <w:bookmarkStart w:id="111" w:name="_Toc294178076"/>
      <w:bookmarkStart w:id="112" w:name="_Toc504325381"/>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412705195"/>
      <w:bookmarkStart w:id="114" w:name="_Toc504325382"/>
      <w:bookmarkStart w:id="115" w:name="_Toc294178077"/>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沧州奥裕电力器材有限公司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4220604"/>
      <w:bookmarkStart w:id="118" w:name="_Toc412705199"/>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504325383"/>
      <w:bookmarkStart w:id="120" w:name="_Toc414220602"/>
      <w:bookmarkStart w:id="121" w:name="_Toc412705196"/>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color w:val="auto"/>
          <w:spacing w:val="-2"/>
          <w:sz w:val="24"/>
          <w:szCs w:val="24"/>
          <w:lang w:val="en-US" w:eastAsia="zh-CN"/>
        </w:rPr>
        <w:t>项目挤出、扩张工序有机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经集气罩</w:t>
      </w:r>
      <w:r>
        <w:rPr>
          <w:rFonts w:hint="default" w:ascii="Times New Roman" w:hAnsi="Times New Roman" w:eastAsia="宋体" w:cs="Times New Roman"/>
          <w:sz w:val="24"/>
          <w:szCs w:val="24"/>
          <w:lang w:val="en-US" w:eastAsia="zh-CN"/>
        </w:rPr>
        <w:t>+软帘</w:t>
      </w:r>
      <w:r>
        <w:rPr>
          <w:rFonts w:hint="default" w:ascii="Times New Roman" w:hAnsi="Times New Roman" w:eastAsia="宋体" w:cs="Times New Roman"/>
          <w:sz w:val="24"/>
          <w:szCs w:val="24"/>
          <w:lang w:eastAsia="zh-CN"/>
        </w:rPr>
        <w:t>收集后由二级</w:t>
      </w:r>
      <w:r>
        <w:rPr>
          <w:rFonts w:hint="default" w:ascii="Times New Roman" w:hAnsi="Times New Roman" w:eastAsia="宋体" w:cs="Times New Roman"/>
          <w:sz w:val="24"/>
          <w:szCs w:val="24"/>
          <w:lang w:val="en-US" w:eastAsia="zh-CN"/>
        </w:rPr>
        <w:t>活性炭</w:t>
      </w:r>
      <w:r>
        <w:rPr>
          <w:rFonts w:hint="default" w:ascii="Times New Roman" w:hAnsi="Times New Roman" w:eastAsia="宋体" w:cs="Times New Roman"/>
          <w:sz w:val="24"/>
          <w:szCs w:val="24"/>
          <w:lang w:eastAsia="zh-CN"/>
        </w:rPr>
        <w:t>吸附装置处理后由1根</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eastAsia="zh-CN"/>
        </w:rPr>
        <w:t>m高排气筒排放</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3.61</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满足《合成树脂工业污染物排放标准》（GB 31572-2015）表5大气污染物特别排放限值（非甲烷总烃：</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baseline"/>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eastAsia" w:eastAsia="宋体" w:cs="Times New Roman"/>
          <w:sz w:val="24"/>
          <w:szCs w:val="24"/>
          <w:lang w:val="en-US" w:eastAsia="zh-CN"/>
        </w:rPr>
        <w:t>2.22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满足</w:t>
      </w:r>
      <w:r>
        <w:rPr>
          <w:rFonts w:hint="default" w:ascii="Times New Roman" w:hAnsi="Times New Roman" w:eastAsia="宋体" w:cs="Times New Roman"/>
          <w:sz w:val="24"/>
          <w:szCs w:val="24"/>
          <w:lang w:val="en-US" w:eastAsia="zh-CN"/>
        </w:rPr>
        <w:t>《挥发性有机物无组织排放控制标准》（GB37822-2019）表A.1厂区内VOC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北、东、南、西方向各设1个监测点位，各点位昼间、夜间噪声值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，夜间：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7"/>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项目冷却用水循环使用，不外排，定期补充新鲜水；项目废水主要为职工生活污水，水量较小，水质简单，全部用于厂区泼洒抑尘，不外排；厂区设防渗旱厕，定期清掏用作农肥</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项目产生固体废物包括原料废包装袋、不合格产品、边角料、废活性炭和职工生活垃圾。</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一般固体废物：原料废包装袋经收集后外售综合利用；不合格产品和边角料经收集后，利用粉碎机进行粉碎处理，回用于生产；</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危险废物：废活性炭采用密封胶袋包装，暂存于危废暂存间，定期交有资质单位清运处置；</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生活垃圾：统一收集后由当地环卫部门清运处理。</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全厂污染物总量控制指标建议为：化学需氧量：0t/a、氨氮：0t/a、二氧化硫：0t/a、氮氧化物：0t/a、非甲烷总烃：4.320t/a。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项目实际排放污染物总量为：化学需氧量：0t/a、氨氮：0t/a、二氧化硫：0t/a、氮氧化物：0t/a、非甲烷总烃：0.050t/a。满足环评中总量控制要求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7"/>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2336" behindDoc="0" locked="0" layoutInCell="1" allowOverlap="1">
            <wp:simplePos x="0" y="0"/>
            <wp:positionH relativeFrom="column">
              <wp:posOffset>-1233170</wp:posOffset>
            </wp:positionH>
            <wp:positionV relativeFrom="paragraph">
              <wp:posOffset>1318895</wp:posOffset>
            </wp:positionV>
            <wp:extent cx="8639810" cy="6120130"/>
            <wp:effectExtent l="0" t="0" r="13970" b="8890"/>
            <wp:wrapNone/>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3360" behindDoc="0" locked="0" layoutInCell="1" allowOverlap="1">
            <wp:simplePos x="0" y="0"/>
            <wp:positionH relativeFrom="column">
              <wp:posOffset>-1102995</wp:posOffset>
            </wp:positionH>
            <wp:positionV relativeFrom="paragraph">
              <wp:posOffset>1360805</wp:posOffset>
            </wp:positionV>
            <wp:extent cx="8639810" cy="6120130"/>
            <wp:effectExtent l="0" t="0" r="13970" b="8890"/>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5"/>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87630</wp:posOffset>
            </wp:positionV>
            <wp:extent cx="5996940" cy="3382010"/>
            <wp:effectExtent l="0" t="0" r="3810" b="889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996940" cy="3382010"/>
                    </a:xfrm>
                    <a:prstGeom prst="rect">
                      <a:avLst/>
                    </a:prstGeom>
                    <a:noFill/>
                    <a:ln>
                      <a:noFill/>
                    </a:ln>
                  </pic:spPr>
                </pic:pic>
              </a:graphicData>
            </a:graphic>
          </wp:anchor>
        </w:drawing>
      </w: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7"/>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7"/>
        <w:jc w:val="center"/>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520065</wp:posOffset>
            </wp:positionH>
            <wp:positionV relativeFrom="paragraph">
              <wp:posOffset>19685</wp:posOffset>
            </wp:positionV>
            <wp:extent cx="5269865" cy="7247255"/>
            <wp:effectExtent l="0" t="0" r="6985" b="10795"/>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7"/>
                  </pic:blipFill>
                  <pic:spPr>
                    <a:xfrm>
                      <a:off x="0" y="0"/>
                      <a:ext cx="5269865" cy="7247255"/>
                    </a:xfrm>
                    <a:prstGeom prst="rect">
                      <a:avLst/>
                    </a:prstGeom>
                  </pic:spPr>
                </pic:pic>
              </a:graphicData>
            </a:graphic>
          </wp:anchor>
        </w:drawing>
      </w: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260985</wp:posOffset>
            </wp:positionH>
            <wp:positionV relativeFrom="paragraph">
              <wp:posOffset>179705</wp:posOffset>
            </wp:positionV>
            <wp:extent cx="5269865" cy="7247255"/>
            <wp:effectExtent l="0" t="0" r="6985" b="10795"/>
            <wp:wrapNone/>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8"/>
                  </pic:blipFill>
                  <pic:spPr>
                    <a:xfrm>
                      <a:off x="0" y="0"/>
                      <a:ext cx="5269865" cy="7247255"/>
                    </a:xfrm>
                    <a:prstGeom prst="rect">
                      <a:avLst/>
                    </a:prstGeom>
                  </pic:spPr>
                </pic:pic>
              </a:graphicData>
            </a:graphic>
          </wp:anchor>
        </w:drawing>
      </w:r>
      <w:r>
        <w:rPr>
          <w:rFonts w:hint="eastAsia" w:eastAsiaTheme="minorEastAsia"/>
          <w:lang w:eastAsia="zh-CN"/>
        </w:rPr>
        <w:br w:type="page"/>
      </w:r>
    </w:p>
    <w:p>
      <w:pPr>
        <w:pStyle w:val="7"/>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7456" behindDoc="0" locked="0" layoutInCell="1" allowOverlap="1">
            <wp:simplePos x="0" y="0"/>
            <wp:positionH relativeFrom="column">
              <wp:posOffset>156845</wp:posOffset>
            </wp:positionH>
            <wp:positionV relativeFrom="paragraph">
              <wp:posOffset>380365</wp:posOffset>
            </wp:positionV>
            <wp:extent cx="5749290" cy="8086725"/>
            <wp:effectExtent l="0" t="0" r="3810" b="9525"/>
            <wp:wrapNone/>
            <wp:docPr id="7" name="图片 7" descr="0e4d985a35c2ff71d3a794193c3c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e4d985a35c2ff71d3a794193c3c498"/>
                    <pic:cNvPicPr>
                      <a:picLocks noChangeAspect="1"/>
                    </pic:cNvPicPr>
                  </pic:nvPicPr>
                  <pic:blipFill>
                    <a:blip r:embed="rId19"/>
                    <a:stretch>
                      <a:fillRect/>
                    </a:stretch>
                  </pic:blipFill>
                  <pic:spPr>
                    <a:xfrm>
                      <a:off x="0" y="0"/>
                      <a:ext cx="5749290" cy="8086725"/>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pStyle w:val="7"/>
        <w:jc w:val="center"/>
        <w:rPr>
          <w:rFonts w:hint="default" w:ascii="Times New Roman" w:hAnsi="Times New Roman" w:eastAsia="宋体" w:cs="Times New Roman"/>
          <w:b/>
          <w:sz w:val="30"/>
          <w:szCs w:val="30"/>
          <w:lang w:eastAsia="zh-CN"/>
        </w:rPr>
      </w:pPr>
    </w:p>
    <w:p>
      <w:pPr>
        <w:pStyle w:val="7"/>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沧州奥裕电力器材有限公司 </w:t>
      </w:r>
      <w:r>
        <w:rPr>
          <w:rFonts w:hint="default" w:ascii="Times New Roman" w:hAnsi="Times New Roman" w:cs="Times New Roman"/>
        </w:rPr>
        <w:t xml:space="preserve"> 填表人（签字）：            项目经办人（签字）：</w:t>
      </w:r>
    </w:p>
    <w:tbl>
      <w:tblPr>
        <w:tblStyle w:val="3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年产5000万米热缩套管新建项目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河间市留古寺镇留古寺村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C2922塑料板、管、型材制造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1501140</wp:posOffset>
                      </wp:positionH>
                      <wp:positionV relativeFrom="paragraph">
                        <wp:posOffset>64770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8.2pt;margin-top:5.1pt;height:5.6pt;width:5.25pt;z-index:251661312;v-text-anchor:middle;mso-width-relative:page;mso-height-relative:page;" fillcolor="#000000 [3213]" filled="t" stroked="t" coordsize="21600,21600" o:gfxdata="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DDEG9kAAAAJ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2265045</wp:posOffset>
                      </wp:positionH>
                      <wp:positionV relativeFrom="paragraph">
                        <wp:posOffset>66040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35pt;margin-top:5.2pt;height:5.6pt;width:5.25pt;z-index:251660288;v-text-anchor:middle;mso-width-relative:page;mso-height-relative:page;" fillcolor="#FFFFFF [3212]" filled="t" stroked="t" coordsize="21600,21600" o:gfxdata="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IRDm3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年产热缩套管5000万米</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年产热缩套管5000万米</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河间市行政审批局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河审批（环评—表）[2023]第15号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7200小时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沧州奥裕电力器材有限公司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91130984MAC384FB1E</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1499</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1499</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3.61</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0.050</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0.050</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lang w:val="en-US"/>
      </w:rPr>
    </w:pPr>
    <w:r>
      <w:rPr>
        <w:rFonts w:hint="eastAsia" w:ascii="Times New Roman" w:hAnsi="Times New Roman" w:eastAsia="宋体" w:cs="Times New Roman"/>
        <w:color w:val="000000"/>
        <w:szCs w:val="21"/>
        <w:lang w:val="en-US" w:eastAsia="zh-CN"/>
      </w:rPr>
      <w:t>沧州奥裕电力器材有限公司年产5000万米热缩套管新建项目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NmU5ZjY4ZDNjNjM0Zjc0OWEyY2I3YTM1ZWQwYzMifQ=="/>
  </w:docVars>
  <w:rsids>
    <w:rsidRoot w:val="00172A27"/>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4DDF"/>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C12428"/>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24B51"/>
    <w:rsid w:val="07336CD4"/>
    <w:rsid w:val="073A1EC1"/>
    <w:rsid w:val="073B3EC5"/>
    <w:rsid w:val="07416A9F"/>
    <w:rsid w:val="07433586"/>
    <w:rsid w:val="07443518"/>
    <w:rsid w:val="0751333B"/>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14073"/>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743052"/>
    <w:rsid w:val="098039B6"/>
    <w:rsid w:val="09867AAE"/>
    <w:rsid w:val="098C57B3"/>
    <w:rsid w:val="099755D7"/>
    <w:rsid w:val="09A77D65"/>
    <w:rsid w:val="09B53B18"/>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E91758"/>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B3C0F"/>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96EDE"/>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71B1A"/>
    <w:rsid w:val="1958764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4C1BAF"/>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6E46D4"/>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412B69"/>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C7BBD"/>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20FDC"/>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EC7121"/>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007648"/>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BE65EF"/>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2A4F7E"/>
    <w:rsid w:val="392B67E9"/>
    <w:rsid w:val="392E7FEA"/>
    <w:rsid w:val="3934169D"/>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A2845"/>
    <w:rsid w:val="3CFE1DDC"/>
    <w:rsid w:val="3CFE53D2"/>
    <w:rsid w:val="3D052467"/>
    <w:rsid w:val="3D1A107E"/>
    <w:rsid w:val="3D1D4DF6"/>
    <w:rsid w:val="3D2D4A70"/>
    <w:rsid w:val="3D2D4D53"/>
    <w:rsid w:val="3D3C5700"/>
    <w:rsid w:val="3D430771"/>
    <w:rsid w:val="3D457DA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63137"/>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1479E"/>
    <w:rsid w:val="40AC5A0E"/>
    <w:rsid w:val="40B8094D"/>
    <w:rsid w:val="40BF2FB2"/>
    <w:rsid w:val="40BF56B4"/>
    <w:rsid w:val="40C93FF4"/>
    <w:rsid w:val="40CD2EC8"/>
    <w:rsid w:val="40CF6C51"/>
    <w:rsid w:val="40EC10C3"/>
    <w:rsid w:val="40F82324"/>
    <w:rsid w:val="40FD2C9F"/>
    <w:rsid w:val="40FD421D"/>
    <w:rsid w:val="41076CD8"/>
    <w:rsid w:val="411938A3"/>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AC1B64"/>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D82A69"/>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D30F6B"/>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317F76"/>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A063C"/>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86F84"/>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06426"/>
    <w:rsid w:val="5353489E"/>
    <w:rsid w:val="535F1964"/>
    <w:rsid w:val="536A5A61"/>
    <w:rsid w:val="537307EF"/>
    <w:rsid w:val="53815422"/>
    <w:rsid w:val="53AB7385"/>
    <w:rsid w:val="53CD588A"/>
    <w:rsid w:val="53D5768D"/>
    <w:rsid w:val="53DC7820"/>
    <w:rsid w:val="54004901"/>
    <w:rsid w:val="5402155B"/>
    <w:rsid w:val="540A5CD5"/>
    <w:rsid w:val="5418592F"/>
    <w:rsid w:val="541A79B6"/>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1377D"/>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477420"/>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D210F0"/>
    <w:rsid w:val="59E54352"/>
    <w:rsid w:val="59F226B7"/>
    <w:rsid w:val="59F34CE6"/>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373BF"/>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B24B1"/>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370B9"/>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83EEF"/>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B211AB"/>
    <w:rsid w:val="67D22629"/>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914B7"/>
    <w:rsid w:val="6CAE091F"/>
    <w:rsid w:val="6CB50197"/>
    <w:rsid w:val="6CC251F9"/>
    <w:rsid w:val="6CC87309"/>
    <w:rsid w:val="6CD41DC7"/>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46A95"/>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32685"/>
    <w:rsid w:val="75DF7B1D"/>
    <w:rsid w:val="75EE088F"/>
    <w:rsid w:val="75F025ED"/>
    <w:rsid w:val="75FF6443"/>
    <w:rsid w:val="760115D8"/>
    <w:rsid w:val="760466E4"/>
    <w:rsid w:val="76096A3C"/>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073C31"/>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51901"/>
    <w:rsid w:val="7CAA5048"/>
    <w:rsid w:val="7CB305A5"/>
    <w:rsid w:val="7CCD4836"/>
    <w:rsid w:val="7CD65610"/>
    <w:rsid w:val="7CDE73E1"/>
    <w:rsid w:val="7CED1392"/>
    <w:rsid w:val="7CF74207"/>
    <w:rsid w:val="7CFB7376"/>
    <w:rsid w:val="7D13002B"/>
    <w:rsid w:val="7D2D13A8"/>
    <w:rsid w:val="7D2D6F2A"/>
    <w:rsid w:val="7D3126F3"/>
    <w:rsid w:val="7D35110B"/>
    <w:rsid w:val="7D385AC2"/>
    <w:rsid w:val="7D3D2A50"/>
    <w:rsid w:val="7D3E7BDD"/>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1"/>
    <w:qFormat/>
    <w:uiPriority w:val="0"/>
    <w:pPr>
      <w:spacing w:line="480" w:lineRule="atLeast"/>
      <w:outlineLvl w:val="0"/>
    </w:pPr>
    <w:rPr>
      <w:rFonts w:ascii="宋体" w:hAnsi="宋体" w:eastAsia="宋体"/>
      <w:b/>
      <w:sz w:val="30"/>
      <w:szCs w:val="30"/>
    </w:rPr>
  </w:style>
  <w:style w:type="paragraph" w:styleId="4">
    <w:name w:val="heading 2"/>
    <w:basedOn w:val="3"/>
    <w:next w:val="1"/>
    <w:link w:val="42"/>
    <w:qFormat/>
    <w:uiPriority w:val="0"/>
    <w:pPr>
      <w:outlineLvl w:val="1"/>
    </w:pPr>
    <w:rPr>
      <w:sz w:val="28"/>
    </w:rPr>
  </w:style>
  <w:style w:type="paragraph" w:styleId="5">
    <w:name w:val="heading 3"/>
    <w:basedOn w:val="1"/>
    <w:next w:val="1"/>
    <w:link w:val="43"/>
    <w:qFormat/>
    <w:uiPriority w:val="0"/>
    <w:pPr>
      <w:spacing w:line="480" w:lineRule="atLeast"/>
      <w:outlineLvl w:val="2"/>
    </w:pPr>
    <w:rPr>
      <w:rFonts w:ascii="宋体" w:hAnsi="宋体" w:eastAsia="宋体"/>
      <w:sz w:val="24"/>
      <w:szCs w:val="24"/>
    </w:rPr>
  </w:style>
  <w:style w:type="paragraph" w:styleId="6">
    <w:name w:val="heading 4"/>
    <w:basedOn w:val="1"/>
    <w:next w:val="7"/>
    <w:link w:val="44"/>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48"/>
    <w:unhideWhenUsed/>
    <w:qFormat/>
    <w:uiPriority w:val="99"/>
    <w:pPr>
      <w:tabs>
        <w:tab w:val="center" w:pos="4153"/>
        <w:tab w:val="right" w:pos="8306"/>
      </w:tabs>
      <w:snapToGrid w:val="0"/>
      <w:jc w:val="left"/>
    </w:pPr>
    <w:rPr>
      <w:sz w:val="18"/>
      <w:szCs w:val="18"/>
    </w:rPr>
  </w:style>
  <w:style w:type="paragraph" w:styleId="7">
    <w:name w:val="Normal Indent"/>
    <w:basedOn w:val="1"/>
    <w:next w:val="6"/>
    <w:link w:val="70"/>
    <w:qFormat/>
    <w:uiPriority w:val="0"/>
    <w:pPr>
      <w:ind w:firstLine="420" w:firstLineChars="200"/>
    </w:pPr>
    <w:rPr>
      <w:rFonts w:eastAsia="宋体"/>
      <w:szCs w:val="24"/>
    </w:rPr>
  </w:style>
  <w:style w:type="paragraph" w:styleId="8">
    <w:name w:val="caption"/>
    <w:basedOn w:val="1"/>
    <w:next w:val="1"/>
    <w:link w:val="71"/>
    <w:qFormat/>
    <w:uiPriority w:val="0"/>
    <w:pPr>
      <w:jc w:val="center"/>
    </w:pPr>
    <w:rPr>
      <w:rFonts w:ascii="宋体" w:hAnsi="Arial" w:eastAsia="宋体" w:cs="Arial"/>
    </w:rPr>
  </w:style>
  <w:style w:type="paragraph" w:styleId="9">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3"/>
    <w:qFormat/>
    <w:uiPriority w:val="0"/>
    <w:pPr>
      <w:jc w:val="left"/>
    </w:pPr>
    <w:rPr>
      <w:szCs w:val="24"/>
    </w:rPr>
  </w:style>
  <w:style w:type="paragraph" w:styleId="11">
    <w:name w:val="Body Text 3"/>
    <w:basedOn w:val="1"/>
    <w:link w:val="75"/>
    <w:qFormat/>
    <w:uiPriority w:val="0"/>
    <w:pPr>
      <w:spacing w:after="120"/>
    </w:pPr>
    <w:rPr>
      <w:rFonts w:ascii="Times New Roman" w:hAnsi="Times New Roman" w:eastAsia="宋体" w:cs="Times New Roman"/>
      <w:sz w:val="16"/>
      <w:szCs w:val="16"/>
    </w:rPr>
  </w:style>
  <w:style w:type="paragraph" w:styleId="12">
    <w:name w:val="Body Text"/>
    <w:basedOn w:val="1"/>
    <w:next w:val="13"/>
    <w:link w:val="79"/>
    <w:qFormat/>
    <w:uiPriority w:val="0"/>
    <w:rPr>
      <w:rFonts w:ascii="Times New Roman" w:hAnsi="Times New Roman" w:eastAsia="宋体" w:cs="Times New Roman"/>
      <w:sz w:val="32"/>
      <w:szCs w:val="20"/>
    </w:rPr>
  </w:style>
  <w:style w:type="paragraph" w:styleId="13">
    <w:name w:val="List Bullet 5"/>
    <w:basedOn w:val="1"/>
    <w:semiHidden/>
    <w:unhideWhenUsed/>
    <w:qFormat/>
    <w:uiPriority w:val="99"/>
    <w:pPr>
      <w:numPr>
        <w:ilvl w:val="0"/>
        <w:numId w:val="1"/>
      </w:numPr>
    </w:pPr>
  </w:style>
  <w:style w:type="paragraph" w:styleId="14">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next w:val="1"/>
    <w:link w:val="73"/>
    <w:qFormat/>
    <w:uiPriority w:val="0"/>
    <w:rPr>
      <w:rFonts w:ascii="宋体" w:hAnsi="Courier New" w:eastAsia="宋体"/>
    </w:rPr>
  </w:style>
  <w:style w:type="paragraph" w:styleId="18">
    <w:name w:val="Date"/>
    <w:basedOn w:val="1"/>
    <w:next w:val="1"/>
    <w:link w:val="46"/>
    <w:unhideWhenUsed/>
    <w:qFormat/>
    <w:uiPriority w:val="0"/>
    <w:pPr>
      <w:ind w:left="100" w:leftChars="2500"/>
    </w:pPr>
  </w:style>
  <w:style w:type="paragraph" w:styleId="19">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5"/>
    <w:unhideWhenUsed/>
    <w:qFormat/>
    <w:uiPriority w:val="0"/>
    <w:rPr>
      <w:sz w:val="18"/>
      <w:szCs w:val="18"/>
    </w:rPr>
  </w:style>
  <w:style w:type="paragraph" w:styleId="21">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2"/>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4"/>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74"/>
    <w:qFormat/>
    <w:uiPriority w:val="0"/>
    <w:rPr>
      <w:b/>
      <w:bCs/>
    </w:rPr>
  </w:style>
  <w:style w:type="paragraph" w:styleId="30">
    <w:name w:val="Body Text First Indent"/>
    <w:basedOn w:val="12"/>
    <w:qFormat/>
    <w:uiPriority w:val="0"/>
    <w:pPr>
      <w:spacing w:after="120" w:line="240" w:lineRule="auto"/>
      <w:ind w:firstLine="420" w:firstLineChars="100"/>
    </w:pPr>
    <w:rPr>
      <w:sz w:val="28"/>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99"/>
    <w:rPr>
      <w:color w:val="000000"/>
      <w:u w:val="single"/>
    </w:rPr>
  </w:style>
  <w:style w:type="character" w:styleId="38">
    <w:name w:val="annotation reference"/>
    <w:basedOn w:val="33"/>
    <w:qFormat/>
    <w:uiPriority w:val="0"/>
    <w:rPr>
      <w:sz w:val="21"/>
      <w:szCs w:val="21"/>
    </w:rPr>
  </w:style>
  <w:style w:type="paragraph" w:customStyle="1" w:styleId="39">
    <w:name w:val="Default"/>
    <w:next w:val="17"/>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0">
    <w:name w:val="样式 正文文本 + 首行缩进:  2 字符"/>
    <w:basedOn w:val="12"/>
    <w:next w:val="1"/>
    <w:qFormat/>
    <w:uiPriority w:val="0"/>
    <w:pPr>
      <w:spacing w:line="480" w:lineRule="exact"/>
      <w:ind w:firstLine="480" w:firstLineChars="200"/>
    </w:pPr>
    <w:rPr>
      <w:rFonts w:ascii="宋体" w:hAnsi="宋体" w:eastAsia="宋体" w:cs="宋体"/>
      <w:sz w:val="24"/>
      <w:szCs w:val="20"/>
    </w:rPr>
  </w:style>
  <w:style w:type="character" w:customStyle="1" w:styleId="41">
    <w:name w:val="标题 1 Char"/>
    <w:basedOn w:val="33"/>
    <w:link w:val="3"/>
    <w:qFormat/>
    <w:uiPriority w:val="0"/>
    <w:rPr>
      <w:rFonts w:ascii="宋体" w:hAnsi="宋体" w:eastAsia="宋体"/>
      <w:b/>
      <w:sz w:val="30"/>
      <w:szCs w:val="30"/>
    </w:rPr>
  </w:style>
  <w:style w:type="character" w:customStyle="1" w:styleId="42">
    <w:name w:val="标题 2 Char"/>
    <w:basedOn w:val="33"/>
    <w:link w:val="4"/>
    <w:qFormat/>
    <w:uiPriority w:val="0"/>
    <w:rPr>
      <w:rFonts w:ascii="宋体" w:hAnsi="宋体" w:eastAsia="宋体"/>
      <w:b/>
      <w:sz w:val="28"/>
      <w:szCs w:val="30"/>
    </w:rPr>
  </w:style>
  <w:style w:type="character" w:customStyle="1" w:styleId="43">
    <w:name w:val="标题 3 Char"/>
    <w:basedOn w:val="33"/>
    <w:link w:val="5"/>
    <w:qFormat/>
    <w:uiPriority w:val="0"/>
    <w:rPr>
      <w:rFonts w:ascii="宋体" w:hAnsi="宋体" w:eastAsia="宋体"/>
      <w:sz w:val="24"/>
      <w:szCs w:val="24"/>
    </w:rPr>
  </w:style>
  <w:style w:type="character" w:customStyle="1" w:styleId="44">
    <w:name w:val="标题 4 Char"/>
    <w:basedOn w:val="33"/>
    <w:link w:val="6"/>
    <w:qFormat/>
    <w:uiPriority w:val="0"/>
    <w:rPr>
      <w:rFonts w:ascii="Arial" w:hAnsi="Arial" w:eastAsia="黑体" w:cs="Times New Roman"/>
      <w:b/>
      <w:bCs/>
      <w:sz w:val="28"/>
      <w:szCs w:val="28"/>
    </w:rPr>
  </w:style>
  <w:style w:type="character" w:customStyle="1" w:styleId="45">
    <w:name w:val="批注框文本 Char"/>
    <w:basedOn w:val="33"/>
    <w:link w:val="20"/>
    <w:qFormat/>
    <w:uiPriority w:val="0"/>
    <w:rPr>
      <w:sz w:val="18"/>
      <w:szCs w:val="18"/>
    </w:rPr>
  </w:style>
  <w:style w:type="character" w:customStyle="1" w:styleId="46">
    <w:name w:val="日期 Char"/>
    <w:basedOn w:val="33"/>
    <w:link w:val="18"/>
    <w:qFormat/>
    <w:uiPriority w:val="0"/>
  </w:style>
  <w:style w:type="character" w:customStyle="1" w:styleId="47">
    <w:name w:val="页眉 Char"/>
    <w:basedOn w:val="33"/>
    <w:link w:val="21"/>
    <w:qFormat/>
    <w:uiPriority w:val="0"/>
    <w:rPr>
      <w:sz w:val="18"/>
      <w:szCs w:val="18"/>
    </w:rPr>
  </w:style>
  <w:style w:type="character" w:customStyle="1" w:styleId="48">
    <w:name w:val="页脚 Char"/>
    <w:basedOn w:val="33"/>
    <w:link w:val="2"/>
    <w:qFormat/>
    <w:uiPriority w:val="99"/>
    <w:rPr>
      <w:sz w:val="18"/>
      <w:szCs w:val="18"/>
    </w:rPr>
  </w:style>
  <w:style w:type="character" w:customStyle="1" w:styleId="49">
    <w:name w:val="apple-converted-space"/>
    <w:basedOn w:val="33"/>
    <w:qFormat/>
    <w:uiPriority w:val="0"/>
  </w:style>
  <w:style w:type="character" w:customStyle="1" w:styleId="50">
    <w:name w:val="表内容@ Char"/>
    <w:basedOn w:val="33"/>
    <w:link w:val="51"/>
    <w:qFormat/>
    <w:uiPriority w:val="0"/>
    <w:rPr>
      <w:rFonts w:ascii="宋体" w:hAnsi="宋体" w:eastAsia="宋体" w:cs="Arial"/>
      <w:szCs w:val="21"/>
    </w:rPr>
  </w:style>
  <w:style w:type="paragraph" w:customStyle="1" w:styleId="51">
    <w:name w:val="表内容@"/>
    <w:basedOn w:val="1"/>
    <w:link w:val="50"/>
    <w:qFormat/>
    <w:uiPriority w:val="0"/>
    <w:pPr>
      <w:adjustRightInd w:val="0"/>
      <w:jc w:val="center"/>
    </w:pPr>
    <w:rPr>
      <w:rFonts w:ascii="宋体" w:hAnsi="宋体" w:eastAsia="宋体" w:cs="Arial"/>
      <w:szCs w:val="21"/>
    </w:rPr>
  </w:style>
  <w:style w:type="character" w:customStyle="1" w:styleId="52">
    <w:name w:val="t1"/>
    <w:qFormat/>
    <w:uiPriority w:val="0"/>
    <w:rPr>
      <w:sz w:val="28"/>
      <w:szCs w:val="28"/>
    </w:rPr>
  </w:style>
  <w:style w:type="character" w:customStyle="1" w:styleId="53">
    <w:name w:val="批注文字 Char"/>
    <w:basedOn w:val="33"/>
    <w:link w:val="10"/>
    <w:qFormat/>
    <w:uiPriority w:val="0"/>
    <w:rPr>
      <w:szCs w:val="24"/>
    </w:rPr>
  </w:style>
  <w:style w:type="character" w:customStyle="1" w:styleId="54">
    <w:name w:val="样式 正文@ + 首行缩进:  2 字符2 Char"/>
    <w:basedOn w:val="33"/>
    <w:link w:val="55"/>
    <w:qFormat/>
    <w:uiPriority w:val="0"/>
    <w:rPr>
      <w:rFonts w:ascii="宋体" w:hAnsi="宋体" w:eastAsia="宋体" w:cs="宋体"/>
      <w:sz w:val="24"/>
    </w:rPr>
  </w:style>
  <w:style w:type="paragraph" w:customStyle="1" w:styleId="55">
    <w:name w:val="样式 正文@ + 首行缩进:  2 字符2"/>
    <w:basedOn w:val="1"/>
    <w:link w:val="54"/>
    <w:qFormat/>
    <w:uiPriority w:val="0"/>
    <w:pPr>
      <w:spacing w:line="360" w:lineRule="auto"/>
      <w:ind w:firstLine="480" w:firstLineChars="200"/>
    </w:pPr>
    <w:rPr>
      <w:rFonts w:ascii="宋体" w:hAnsi="宋体" w:eastAsia="宋体" w:cs="宋体"/>
      <w:sz w:val="24"/>
    </w:rPr>
  </w:style>
  <w:style w:type="character" w:customStyle="1" w:styleId="56">
    <w:name w:val="样式 样式 正文@ + 首行缩进:  2 字符 字距调整小四 紧缩量  0.2 磅 + 首行缩进:  2 字符 Char"/>
    <w:basedOn w:val="33"/>
    <w:link w:val="57"/>
    <w:qFormat/>
    <w:uiPriority w:val="0"/>
    <w:rPr>
      <w:rFonts w:ascii="宋体" w:hAnsi="宋体" w:eastAsia="宋体" w:cs="宋体"/>
      <w:kern w:val="24"/>
      <w:sz w:val="24"/>
      <w:szCs w:val="24"/>
    </w:rPr>
  </w:style>
  <w:style w:type="paragraph" w:customStyle="1" w:styleId="57">
    <w:name w:val="样式 样式 正文@ + 首行缩进:  2 字符 字距调整小四 紧缩量  0.2 磅 + 首行缩进:  2 字符"/>
    <w:basedOn w:val="1"/>
    <w:link w:val="56"/>
    <w:qFormat/>
    <w:uiPriority w:val="0"/>
    <w:pPr>
      <w:spacing w:line="360" w:lineRule="auto"/>
      <w:ind w:firstLine="480" w:firstLineChars="200"/>
    </w:pPr>
    <w:rPr>
      <w:rFonts w:ascii="宋体" w:hAnsi="宋体" w:eastAsia="宋体" w:cs="宋体"/>
      <w:kern w:val="24"/>
      <w:sz w:val="24"/>
      <w:szCs w:val="24"/>
    </w:rPr>
  </w:style>
  <w:style w:type="character" w:customStyle="1" w:styleId="58">
    <w:name w:val="d1"/>
    <w:basedOn w:val="33"/>
    <w:qFormat/>
    <w:uiPriority w:val="0"/>
    <w:rPr>
      <w:rFonts w:hint="default" w:ascii="ˎ̥" w:hAnsi="ˎ̥"/>
      <w:color w:val="5C5C5C"/>
      <w:sz w:val="23"/>
      <w:szCs w:val="23"/>
      <w:u w:val="none"/>
    </w:rPr>
  </w:style>
  <w:style w:type="character" w:customStyle="1" w:styleId="59">
    <w:name w:val="正文2 Char Char"/>
    <w:basedOn w:val="33"/>
    <w:link w:val="60"/>
    <w:qFormat/>
    <w:uiPriority w:val="0"/>
    <w:rPr>
      <w:spacing w:val="18"/>
      <w:sz w:val="32"/>
    </w:rPr>
  </w:style>
  <w:style w:type="paragraph" w:customStyle="1" w:styleId="60">
    <w:name w:val="正文2"/>
    <w:link w:val="59"/>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1">
    <w:name w:val="表头 Char"/>
    <w:basedOn w:val="33"/>
    <w:link w:val="62"/>
    <w:qFormat/>
    <w:uiPriority w:val="0"/>
    <w:rPr>
      <w:rFonts w:ascii="黑体" w:eastAsia="黑体"/>
      <w:sz w:val="24"/>
    </w:rPr>
  </w:style>
  <w:style w:type="paragraph" w:customStyle="1" w:styleId="62">
    <w:name w:val="表头"/>
    <w:basedOn w:val="1"/>
    <w:link w:val="61"/>
    <w:qFormat/>
    <w:uiPriority w:val="0"/>
    <w:pPr>
      <w:spacing w:line="360" w:lineRule="auto"/>
      <w:jc w:val="center"/>
    </w:pPr>
    <w:rPr>
      <w:rFonts w:ascii="黑体" w:eastAsia="黑体"/>
      <w:sz w:val="24"/>
    </w:rPr>
  </w:style>
  <w:style w:type="character" w:customStyle="1" w:styleId="63">
    <w:name w:val="样式 表图头@ + 段前: 0.5 行 Char"/>
    <w:basedOn w:val="33"/>
    <w:link w:val="64"/>
    <w:qFormat/>
    <w:uiPriority w:val="0"/>
    <w:rPr>
      <w:rFonts w:ascii="宋体" w:hAnsi="宋体" w:eastAsia="宋体" w:cs="宋体"/>
    </w:rPr>
  </w:style>
  <w:style w:type="paragraph" w:customStyle="1" w:styleId="64">
    <w:name w:val="样式 表图头@ + 段前: 0.5 行"/>
    <w:basedOn w:val="1"/>
    <w:link w:val="63"/>
    <w:qFormat/>
    <w:uiPriority w:val="0"/>
    <w:pPr>
      <w:adjustRightInd w:val="0"/>
      <w:jc w:val="center"/>
    </w:pPr>
    <w:rPr>
      <w:rFonts w:ascii="宋体" w:hAnsi="宋体" w:eastAsia="宋体" w:cs="宋体"/>
    </w:rPr>
  </w:style>
  <w:style w:type="character" w:customStyle="1" w:styleId="65">
    <w:name w:val="style5"/>
    <w:basedOn w:val="33"/>
    <w:qFormat/>
    <w:uiPriority w:val="0"/>
  </w:style>
  <w:style w:type="character" w:customStyle="1" w:styleId="66">
    <w:name w:val="正文1 Char"/>
    <w:basedOn w:val="33"/>
    <w:link w:val="67"/>
    <w:qFormat/>
    <w:uiPriority w:val="0"/>
    <w:rPr>
      <w:rFonts w:eastAsia="宋体"/>
    </w:rPr>
  </w:style>
  <w:style w:type="paragraph" w:customStyle="1" w:styleId="67">
    <w:name w:val="正文1"/>
    <w:basedOn w:val="1"/>
    <w:link w:val="66"/>
    <w:qFormat/>
    <w:uiPriority w:val="0"/>
    <w:pPr>
      <w:adjustRightInd w:val="0"/>
      <w:snapToGrid w:val="0"/>
      <w:spacing w:line="500" w:lineRule="atLeast"/>
      <w:ind w:firstLine="567"/>
    </w:pPr>
    <w:rPr>
      <w:rFonts w:eastAsia="宋体"/>
    </w:rPr>
  </w:style>
  <w:style w:type="character" w:customStyle="1" w:styleId="68">
    <w:name w:val="样式2 Char Char"/>
    <w:basedOn w:val="33"/>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3"/>
    <w:link w:val="7"/>
    <w:qFormat/>
    <w:uiPriority w:val="0"/>
    <w:rPr>
      <w:rFonts w:eastAsia="宋体"/>
      <w:szCs w:val="24"/>
    </w:rPr>
  </w:style>
  <w:style w:type="character" w:customStyle="1" w:styleId="71">
    <w:name w:val="题注 Char"/>
    <w:basedOn w:val="33"/>
    <w:link w:val="8"/>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7"/>
    <w:qFormat/>
    <w:uiPriority w:val="0"/>
    <w:rPr>
      <w:rFonts w:ascii="宋体" w:hAnsi="Courier New" w:eastAsia="宋体"/>
    </w:rPr>
  </w:style>
  <w:style w:type="character" w:customStyle="1" w:styleId="74">
    <w:name w:val="批注主题 Char"/>
    <w:basedOn w:val="53"/>
    <w:link w:val="29"/>
    <w:qFormat/>
    <w:uiPriority w:val="0"/>
    <w:rPr>
      <w:b/>
      <w:bCs/>
      <w:szCs w:val="24"/>
    </w:rPr>
  </w:style>
  <w:style w:type="character" w:customStyle="1" w:styleId="75">
    <w:name w:val="正文文本 3 Char"/>
    <w:basedOn w:val="33"/>
    <w:link w:val="11"/>
    <w:qFormat/>
    <w:uiPriority w:val="0"/>
    <w:rPr>
      <w:rFonts w:ascii="Times New Roman" w:hAnsi="Times New Roman" w:eastAsia="宋体" w:cs="Times New Roman"/>
      <w:sz w:val="16"/>
      <w:szCs w:val="16"/>
    </w:rPr>
  </w:style>
  <w:style w:type="character" w:customStyle="1" w:styleId="76">
    <w:name w:val="文档结构图 Char"/>
    <w:basedOn w:val="33"/>
    <w:link w:val="9"/>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3"/>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3"/>
    <w:link w:val="12"/>
    <w:qFormat/>
    <w:uiPriority w:val="0"/>
    <w:rPr>
      <w:rFonts w:ascii="Times New Roman" w:hAnsi="Times New Roman" w:eastAsia="宋体" w:cs="Times New Roman"/>
      <w:sz w:val="32"/>
      <w:szCs w:val="20"/>
    </w:rPr>
  </w:style>
  <w:style w:type="character" w:customStyle="1" w:styleId="80">
    <w:name w:val="正文文本缩进 Char"/>
    <w:basedOn w:val="33"/>
    <w:link w:val="14"/>
    <w:qFormat/>
    <w:uiPriority w:val="0"/>
    <w:rPr>
      <w:rFonts w:ascii="宋体" w:hAnsi="Times New Roman" w:eastAsia="宋体" w:cs="Times New Roman"/>
      <w:sz w:val="24"/>
      <w:szCs w:val="24"/>
    </w:rPr>
  </w:style>
  <w:style w:type="character" w:customStyle="1" w:styleId="81">
    <w:name w:val="纯文本 字符1"/>
    <w:basedOn w:val="33"/>
    <w:semiHidden/>
    <w:qFormat/>
    <w:uiPriority w:val="99"/>
    <w:rPr>
      <w:rFonts w:hAnsi="Courier New" w:cs="Courier New" w:asciiTheme="minorEastAsia"/>
    </w:rPr>
  </w:style>
  <w:style w:type="character" w:customStyle="1" w:styleId="82">
    <w:name w:val="正文文本缩进 3 Char"/>
    <w:basedOn w:val="33"/>
    <w:link w:val="24"/>
    <w:qFormat/>
    <w:uiPriority w:val="0"/>
    <w:rPr>
      <w:rFonts w:ascii="宋体" w:hAnsi="Times New Roman" w:eastAsia="宋体" w:cs="Times New Roman"/>
      <w:sz w:val="28"/>
      <w:szCs w:val="20"/>
    </w:rPr>
  </w:style>
  <w:style w:type="character" w:customStyle="1" w:styleId="83">
    <w:name w:val="正文文本缩进 2 Char"/>
    <w:basedOn w:val="33"/>
    <w:link w:val="19"/>
    <w:qFormat/>
    <w:uiPriority w:val="0"/>
    <w:rPr>
      <w:rFonts w:ascii="Times New Roman" w:hAnsi="Times New Roman" w:eastAsia="宋体" w:cs="Times New Roman"/>
      <w:sz w:val="28"/>
      <w:szCs w:val="20"/>
    </w:rPr>
  </w:style>
  <w:style w:type="character" w:customStyle="1" w:styleId="84">
    <w:name w:val="正文文本 2 Char"/>
    <w:basedOn w:val="33"/>
    <w:link w:val="26"/>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39"/>
    <w:next w:val="39"/>
    <w:qFormat/>
    <w:uiPriority w:val="0"/>
    <w:pPr>
      <w:spacing w:line="626" w:lineRule="atLeast"/>
    </w:pPr>
    <w:rPr>
      <w:rFonts w:hAnsi="Times New Roman" w:cs="Times New Roman"/>
      <w:color w:val="auto"/>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39"/>
    <w:next w:val="39"/>
    <w:qFormat/>
    <w:uiPriority w:val="0"/>
    <w:pPr>
      <w:spacing w:line="468" w:lineRule="atLeast"/>
    </w:pPr>
    <w:rPr>
      <w:rFonts w:hAnsi="Times New Roman" w:cs="Times New Roman"/>
      <w:color w:val="auto"/>
    </w:rPr>
  </w:style>
  <w:style w:type="paragraph" w:customStyle="1" w:styleId="92">
    <w:name w:val="CM7"/>
    <w:basedOn w:val="39"/>
    <w:next w:val="39"/>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39"/>
    <w:next w:val="39"/>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39"/>
    <w:next w:val="39"/>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4"/>
    <w:qFormat/>
    <w:uiPriority w:val="0"/>
    <w:pPr>
      <w:spacing w:line="500" w:lineRule="exact"/>
      <w:ind w:firstLine="567"/>
    </w:pPr>
    <w:rPr>
      <w:sz w:val="28"/>
      <w:szCs w:val="20"/>
    </w:rPr>
  </w:style>
  <w:style w:type="paragraph" w:customStyle="1" w:styleId="104">
    <w:name w:val="CM51"/>
    <w:basedOn w:val="39"/>
    <w:next w:val="39"/>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7"/>
    <w:qFormat/>
    <w:uiPriority w:val="0"/>
    <w:rPr>
      <w:rFonts w:ascii="宋体" w:hAnsi="Courier New" w:eastAsia="宋体" w:cs="Courier New"/>
      <w:szCs w:val="21"/>
    </w:rPr>
  </w:style>
  <w:style w:type="paragraph" w:customStyle="1" w:styleId="108">
    <w:name w:val="CM5"/>
    <w:basedOn w:val="39"/>
    <w:next w:val="39"/>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39"/>
    <w:next w:val="39"/>
    <w:qFormat/>
    <w:uiPriority w:val="0"/>
    <w:rPr>
      <w:rFonts w:hAnsi="Times New Roman" w:cs="Times New Roman"/>
      <w:color w:val="auto"/>
    </w:rPr>
  </w:style>
  <w:style w:type="paragraph" w:customStyle="1" w:styleId="115">
    <w:name w:val="CM109"/>
    <w:basedOn w:val="39"/>
    <w:next w:val="39"/>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3"/>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7"/>
    <w:next w:val="7"/>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6"/>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31</Pages>
  <Words>10443</Words>
  <Characters>12416</Characters>
  <Lines>234</Lines>
  <Paragraphs>66</Paragraphs>
  <TotalTime>17</TotalTime>
  <ScaleCrop>false</ScaleCrop>
  <LinksUpToDate>false</LinksUpToDate>
  <CharactersWithSpaces>12719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2023-03-21T07:33:58Z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2DD0601DC74D453DA8F802A73678D168</vt:lpwstr>
  </property>
</Properties>
</file>