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HJWJSJCYXGS001</w:t>
      </w:r>
      <w:r>
        <w:rPr>
          <w:rFonts w:hint="default" w:ascii="Times New Roman" w:hAnsi="Times New Roman" w:eastAsia="宋体" w:cs="Times New Roman"/>
          <w:sz w:val="24"/>
          <w:szCs w:val="24"/>
          <w:lang w:val="en-US" w:eastAsia="zh-CN"/>
        </w:rPr>
        <w:t>号</w:t>
      </w:r>
    </w:p>
    <w:p>
      <w:pPr>
        <w:pStyle w:val="9"/>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河间市江帅建材有限公司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商品混凝土新建项目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河间市江帅建材有限公司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河间市江帅建材有限公司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23</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01</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20"/>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40"/>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40"/>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40"/>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40"/>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40"/>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4.1建设项目环评报告</w:t>
          </w:r>
          <w:r>
            <w:rPr>
              <w:rStyle w:val="40"/>
              <w:rFonts w:hint="eastAsia" w:ascii="Times New Roman" w:hAnsi="Times New Roman" w:eastAsia="宋体" w:cs="Times New Roman"/>
              <w:sz w:val="24"/>
              <w:szCs w:val="24"/>
              <w:lang w:val="en-US" w:eastAsia="zh-CN"/>
            </w:rPr>
            <w:t>表</w:t>
          </w:r>
          <w:r>
            <w:rPr>
              <w:rStyle w:val="40"/>
              <w:rFonts w:hint="default" w:ascii="Times New Roman" w:hAnsi="Times New Roman" w:eastAsia="宋体" w:cs="Times New Roman"/>
              <w:sz w:val="24"/>
              <w:szCs w:val="24"/>
            </w:rPr>
            <w:t>的主要结论</w:t>
          </w:r>
          <w:r>
            <w:rPr>
              <w:rStyle w:val="40"/>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40"/>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40"/>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40"/>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40"/>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18</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40"/>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40"/>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8"/>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bookmarkStart w:id="128" w:name="_GoBack"/>
      <w:bookmarkEnd w:id="12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5"/>
        <w:jc w:val="center"/>
        <w:rPr>
          <w:rFonts w:hint="default" w:ascii="Times New Roman" w:hAnsi="Times New Roman" w:cs="Times New Roman"/>
        </w:rPr>
      </w:pPr>
      <w:bookmarkStart w:id="2" w:name="_Toc504325317"/>
    </w:p>
    <w:p>
      <w:pPr>
        <w:pStyle w:val="5"/>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河间市江帅建材有限公司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河间市卧佛堂镇张侯村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60万元建设商品混凝土新建项目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河北佳萌环保科技有限公司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2021年06月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河间市江帅建材有限公司商品混凝土新建项目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2021年06月29日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河环表[2021]（06-37）号。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河间市江帅建材有限公司商品混凝土新建项目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河间市江帅建材有限公司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2022年12月15日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2022年12月16日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河间市江帅建材有限公司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5"/>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6"/>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6"/>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《水泥工业大气污染物超低排放标准》（DB13/2167-2020）；</w:t>
      </w:r>
    </w:p>
    <w:p>
      <w:pPr>
        <w:pStyle w:val="9"/>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9"/>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6"/>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河间市江帅建材有限公司商品混凝土新建项目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河北佳萌环保科技有限公司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2021年06月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河间市江帅建材有限公司商品混凝土新建项目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河环表[2021]（06-37）号，2021年06月29日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商品混凝土新建项目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河间市江帅建材有限公司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张占良</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宋保通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河间市卧佛堂镇张侯村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13833771299</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C3021水泥制品制造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河间市卧佛堂镇张侯村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r>
    </w:tbl>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497001437"/>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河间市卧佛堂镇张侯村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27.090</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4.700</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497001438"/>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年产商品混凝土2万立方米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水泥</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沙子</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5800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石子</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8400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粉煤灰</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50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矿粉</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50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外加剂</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00</w:t>
            </w:r>
          </w:p>
        </w:tc>
        <w:tc>
          <w:tcPr>
            <w:tcW w:w="152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965"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新鲜水</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m³/a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5880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万 kWh/a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r>
    </w:tbl>
    <w:p>
      <w:pPr>
        <w:pStyle w:val="7"/>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w:t>
      </w:r>
      <w:r>
        <w:rPr>
          <w:rFonts w:hint="eastAsia" w:ascii="Times New Roman" w:hAnsi="Times New Roman" w:eastAsia="宋体" w:cs="Times New Roman"/>
          <w:sz w:val="24"/>
          <w:szCs w:val="24"/>
          <w:lang w:val="en-US" w:eastAsia="zh-CN"/>
        </w:rPr>
        <w:t>内容</w:t>
      </w:r>
      <w:r>
        <w:rPr>
          <w:rFonts w:hint="default" w:ascii="Times New Roman" w:hAnsi="Times New Roman" w:eastAsia="宋体" w:cs="Times New Roman"/>
          <w:sz w:val="24"/>
          <w:szCs w:val="24"/>
        </w:rPr>
        <w:t>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项目建设内容</w:t>
      </w:r>
      <w:r>
        <w:rPr>
          <w:rFonts w:hint="default" w:ascii="Times New Roman" w:hAnsi="Times New Roman" w:eastAsia="宋体" w:cs="Times New Roman"/>
          <w:b/>
          <w:bCs/>
          <w:sz w:val="24"/>
          <w:szCs w:val="24"/>
        </w:rPr>
        <w:t>一览表</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941"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项目组成</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建设内容</w:t>
            </w:r>
          </w:p>
        </w:tc>
        <w:tc>
          <w:tcPr>
            <w:tcW w:w="1632" w:type="dxa"/>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主体工程</w:t>
            </w:r>
          </w:p>
        </w:tc>
        <w:tc>
          <w:tcPr>
            <w:tcW w:w="1298" w:type="dxa"/>
            <w:noWrap w:val="0"/>
            <w:tcMar>
              <w:top w:w="0" w:type="dxa"/>
              <w:left w:w="51" w:type="dxa"/>
              <w:bottom w:w="0" w:type="dxa"/>
              <w:right w:w="51" w:type="dxa"/>
            </w:tcMar>
            <w:vAlign w:val="center"/>
          </w:tcPr>
          <w:p>
            <w:pPr>
              <w:pStyle w:val="13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p>
            <w:pPr>
              <w:pStyle w:val="13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w:t>
            </w:r>
          </w:p>
        </w:tc>
        <w:tc>
          <w:tcPr>
            <w:tcW w:w="4947" w:type="dxa"/>
            <w:noWrap w:val="0"/>
            <w:tcMar>
              <w:top w:w="0" w:type="dxa"/>
              <w:left w:w="51" w:type="dxa"/>
              <w:bottom w:w="0" w:type="dxa"/>
              <w:right w:w="51" w:type="dxa"/>
            </w:tcMar>
            <w:vAlign w:val="center"/>
          </w:tcPr>
          <w:p>
            <w:pPr>
              <w:pStyle w:val="138"/>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1座，建筑面积2900m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，主要用于商品混凝土的生产。</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43" w:type="dxa"/>
            <w:vMerge w:val="restart"/>
            <w:noWrap w:val="0"/>
            <w:vAlign w:val="center"/>
          </w:tcPr>
          <w:p>
            <w:pPr>
              <w:pStyle w:val="13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辅助工程</w:t>
            </w: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办公室</w:t>
            </w:r>
          </w:p>
        </w:tc>
        <w:tc>
          <w:tcPr>
            <w:tcW w:w="4947" w:type="dxa"/>
            <w:noWrap w:val="0"/>
            <w:tcMar>
              <w:top w:w="0" w:type="dxa"/>
              <w:left w:w="51" w:type="dxa"/>
              <w:bottom w:w="0" w:type="dxa"/>
              <w:right w:w="51" w:type="dxa"/>
            </w:tcMar>
            <w:vAlign w:val="center"/>
          </w:tcPr>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1座，</w:t>
            </w:r>
            <w:r>
              <w:rPr>
                <w:rFonts w:hint="default" w:ascii="Times New Roman" w:hAnsi="Times New Roman" w:eastAsia="宋体" w:cs="Times New Roman"/>
                <w:b w:val="0"/>
                <w:bCs w:val="0"/>
                <w:color w:val="auto"/>
                <w:sz w:val="21"/>
                <w:szCs w:val="21"/>
                <w:highlight w:val="none"/>
              </w:rPr>
              <w:t>建筑面积</w:t>
            </w:r>
            <w:r>
              <w:rPr>
                <w:rFonts w:hint="eastAsia" w:ascii="Times New Roman" w:hAnsi="Times New Roman" w:eastAsia="宋体" w:cs="Times New Roman"/>
                <w:b w:val="0"/>
                <w:bCs w:val="0"/>
                <w:color w:val="auto"/>
                <w:sz w:val="21"/>
                <w:szCs w:val="21"/>
                <w:highlight w:val="none"/>
                <w:lang w:val="en-US" w:eastAsia="zh-CN"/>
              </w:rPr>
              <w:t>100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eastAsia="zh-CN"/>
              </w:rPr>
              <w:t>主要用于</w:t>
            </w:r>
            <w:r>
              <w:rPr>
                <w:rFonts w:hint="eastAsia" w:ascii="Times New Roman" w:hAnsi="Times New Roman" w:eastAsia="宋体" w:cs="Times New Roman"/>
                <w:b w:val="0"/>
                <w:bCs w:val="0"/>
                <w:color w:val="auto"/>
                <w:sz w:val="21"/>
                <w:szCs w:val="21"/>
                <w:highlight w:val="none"/>
                <w:lang w:val="en-US" w:eastAsia="zh-CN"/>
              </w:rPr>
              <w:t>工作人员办公使用</w:t>
            </w:r>
          </w:p>
        </w:tc>
        <w:tc>
          <w:tcPr>
            <w:tcW w:w="1632"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库房</w:t>
            </w:r>
          </w:p>
        </w:tc>
        <w:tc>
          <w:tcPr>
            <w:tcW w:w="4947" w:type="dxa"/>
            <w:noWrap w:val="0"/>
            <w:tcMar>
              <w:top w:w="0" w:type="dxa"/>
              <w:left w:w="51" w:type="dxa"/>
              <w:bottom w:w="0" w:type="dxa"/>
              <w:right w:w="51" w:type="dxa"/>
            </w:tcMar>
            <w:vAlign w:val="center"/>
          </w:tcPr>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无独立建筑，位于生产车间内，用于原料等的暂存</w:t>
            </w:r>
          </w:p>
        </w:tc>
        <w:tc>
          <w:tcPr>
            <w:tcW w:w="1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料仓</w:t>
            </w:r>
          </w:p>
        </w:tc>
        <w:tc>
          <w:tcPr>
            <w:tcW w:w="4947" w:type="dxa"/>
            <w:noWrap w:val="0"/>
            <w:tcMar>
              <w:top w:w="0" w:type="dxa"/>
              <w:left w:w="51" w:type="dxa"/>
              <w:bottom w:w="0" w:type="dxa"/>
              <w:right w:w="51" w:type="dxa"/>
            </w:tcMar>
            <w:vAlign w:val="center"/>
          </w:tcPr>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设置4个料仓，其中水泥料仓2个，粉煤灰料仓1个，矿粉料仓1个（料仓均布置在厂房内，厂房高度为8m）</w:t>
            </w:r>
          </w:p>
        </w:tc>
        <w:tc>
          <w:tcPr>
            <w:tcW w:w="1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43"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w:t>
            </w:r>
          </w:p>
          <w:p>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工</w:t>
            </w:r>
            <w:r>
              <w:rPr>
                <w:rFonts w:hint="eastAsia" w:ascii="Times New Roman" w:hAnsi="Times New Roman" w:eastAsia="宋体" w:cs="Times New Roman"/>
                <w:color w:val="auto"/>
                <w:kern w:val="0"/>
                <w:sz w:val="21"/>
                <w:szCs w:val="21"/>
                <w:lang w:val="en-US" w:eastAsia="zh-CN"/>
              </w:rPr>
              <w:t>程</w:t>
            </w: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供电</w:t>
            </w:r>
          </w:p>
        </w:tc>
        <w:tc>
          <w:tcPr>
            <w:tcW w:w="4947"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由</w:t>
            </w:r>
            <w:r>
              <w:rPr>
                <w:rFonts w:hint="eastAsia" w:ascii="Times New Roman" w:hAnsi="Times New Roman" w:eastAsia="宋体" w:cs="Times New Roman"/>
                <w:b w:val="0"/>
                <w:bCs w:val="0"/>
                <w:color w:val="auto"/>
                <w:kern w:val="2"/>
                <w:sz w:val="21"/>
                <w:szCs w:val="21"/>
                <w:highlight w:val="none"/>
                <w:lang w:eastAsia="zh-CN"/>
              </w:rPr>
              <w:t>卧佛堂镇</w:t>
            </w:r>
            <w:r>
              <w:rPr>
                <w:rFonts w:hint="default" w:ascii="Times New Roman" w:hAnsi="Times New Roman" w:eastAsia="宋体" w:cs="Times New Roman"/>
                <w:b w:val="0"/>
                <w:bCs w:val="0"/>
                <w:color w:val="auto"/>
                <w:kern w:val="2"/>
                <w:sz w:val="21"/>
                <w:szCs w:val="21"/>
                <w:highlight w:val="none"/>
              </w:rPr>
              <w:t>供电系统提供，</w:t>
            </w:r>
            <w:r>
              <w:rPr>
                <w:rFonts w:hint="default" w:ascii="Times New Roman" w:hAnsi="Times New Roman" w:eastAsia="宋体" w:cs="Times New Roman"/>
                <w:b w:val="0"/>
                <w:bCs w:val="0"/>
                <w:color w:val="auto"/>
                <w:kern w:val="2"/>
                <w:sz w:val="21"/>
                <w:szCs w:val="21"/>
                <w:highlight w:val="none"/>
                <w:lang w:eastAsia="zh-CN"/>
              </w:rPr>
              <w:t>可</w:t>
            </w:r>
            <w:r>
              <w:rPr>
                <w:rFonts w:hint="default" w:ascii="Times New Roman" w:hAnsi="Times New Roman" w:eastAsia="宋体" w:cs="Times New Roman"/>
                <w:b w:val="0"/>
                <w:bCs w:val="0"/>
                <w:color w:val="auto"/>
                <w:kern w:val="2"/>
                <w:sz w:val="21"/>
                <w:szCs w:val="21"/>
                <w:highlight w:val="none"/>
              </w:rPr>
              <w:t>满足项目用电需求。</w:t>
            </w:r>
          </w:p>
        </w:tc>
        <w:tc>
          <w:tcPr>
            <w:tcW w:w="1632"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4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供水</w:t>
            </w:r>
          </w:p>
        </w:tc>
        <w:tc>
          <w:tcPr>
            <w:tcW w:w="4947"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由</w:t>
            </w:r>
            <w:r>
              <w:rPr>
                <w:rFonts w:hint="eastAsia" w:ascii="Times New Roman" w:hAnsi="Times New Roman" w:eastAsia="宋体" w:cs="Times New Roman"/>
                <w:b w:val="0"/>
                <w:bCs w:val="0"/>
                <w:color w:val="auto"/>
                <w:kern w:val="2"/>
                <w:sz w:val="21"/>
                <w:szCs w:val="21"/>
                <w:highlight w:val="none"/>
                <w:lang w:eastAsia="zh-CN"/>
              </w:rPr>
              <w:t>卧佛堂镇</w:t>
            </w:r>
            <w:r>
              <w:rPr>
                <w:rFonts w:hint="default" w:ascii="Times New Roman" w:hAnsi="Times New Roman" w:eastAsia="宋体" w:cs="Times New Roman"/>
                <w:b w:val="0"/>
                <w:bCs w:val="0"/>
                <w:color w:val="auto"/>
                <w:kern w:val="2"/>
                <w:sz w:val="21"/>
                <w:szCs w:val="21"/>
                <w:highlight w:val="none"/>
                <w:lang w:eastAsia="zh-CN"/>
              </w:rPr>
              <w:t>供水系统提供</w:t>
            </w:r>
            <w:r>
              <w:rPr>
                <w:rFonts w:hint="default" w:ascii="Times New Roman" w:hAnsi="Times New Roman" w:eastAsia="宋体" w:cs="Times New Roman"/>
                <w:b w:val="0"/>
                <w:bCs w:val="0"/>
                <w:color w:val="auto"/>
                <w:kern w:val="2"/>
                <w:sz w:val="21"/>
                <w:szCs w:val="21"/>
                <w:highlight w:val="none"/>
              </w:rPr>
              <w:t>，可满足项目用水需求。</w:t>
            </w:r>
          </w:p>
        </w:tc>
        <w:tc>
          <w:tcPr>
            <w:tcW w:w="1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排水</w:t>
            </w:r>
          </w:p>
        </w:tc>
        <w:tc>
          <w:tcPr>
            <w:tcW w:w="4947"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项目</w:t>
            </w:r>
            <w:r>
              <w:rPr>
                <w:rFonts w:hint="eastAsia" w:ascii="Times New Roman" w:hAnsi="Times New Roman" w:eastAsia="宋体" w:cs="Times New Roman"/>
                <w:b w:val="0"/>
                <w:bCs w:val="0"/>
                <w:color w:val="auto"/>
                <w:kern w:val="2"/>
                <w:sz w:val="21"/>
                <w:szCs w:val="21"/>
                <w:highlight w:val="none"/>
                <w:lang w:val="en-US" w:eastAsia="zh-CN"/>
              </w:rPr>
              <w:t>搅拌用水进入产品</w:t>
            </w:r>
            <w:r>
              <w:rPr>
                <w:rFonts w:hint="eastAsia" w:ascii="Times New Roman" w:hAnsi="Times New Roman" w:eastAsia="宋体" w:cs="Times New Roman"/>
                <w:b w:val="0"/>
                <w:bCs w:val="0"/>
                <w:color w:val="auto"/>
                <w:kern w:val="2"/>
                <w:sz w:val="21"/>
                <w:szCs w:val="21"/>
                <w:highlight w:val="none"/>
                <w:lang w:eastAsia="zh-CN"/>
              </w:rPr>
              <w:t>；</w:t>
            </w:r>
            <w:r>
              <w:rPr>
                <w:rFonts w:hint="eastAsia" w:ascii="Times New Roman" w:hAnsi="Times New Roman" w:eastAsia="宋体" w:cs="Times New Roman"/>
                <w:b w:val="0"/>
                <w:bCs w:val="0"/>
                <w:color w:val="auto"/>
                <w:kern w:val="2"/>
                <w:sz w:val="21"/>
                <w:szCs w:val="21"/>
                <w:highlight w:val="none"/>
                <w:lang w:val="en-US" w:eastAsia="zh-CN"/>
              </w:rPr>
              <w:t>生活污水水量较少，水质简单，</w:t>
            </w:r>
            <w:r>
              <w:rPr>
                <w:rFonts w:hint="default" w:ascii="Times New Roman" w:hAnsi="Times New Roman" w:eastAsia="宋体" w:cs="Times New Roman"/>
                <w:b w:val="0"/>
                <w:bCs w:val="0"/>
                <w:color w:val="auto"/>
                <w:kern w:val="2"/>
                <w:sz w:val="21"/>
                <w:szCs w:val="21"/>
                <w:highlight w:val="none"/>
              </w:rPr>
              <w:t>厂内设防渗旱厕，定期清掏，</w:t>
            </w:r>
            <w:r>
              <w:rPr>
                <w:rFonts w:hint="eastAsia" w:ascii="Times New Roman" w:hAnsi="Times New Roman" w:eastAsia="宋体" w:cs="Times New Roman"/>
                <w:b w:val="0"/>
                <w:bCs w:val="0"/>
                <w:color w:val="auto"/>
                <w:kern w:val="2"/>
                <w:sz w:val="21"/>
                <w:szCs w:val="21"/>
                <w:highlight w:val="none"/>
                <w:lang w:val="en-US" w:eastAsia="zh-CN"/>
              </w:rPr>
              <w:t>用作农肥</w:t>
            </w:r>
            <w:r>
              <w:rPr>
                <w:rFonts w:hint="default" w:ascii="Times New Roman" w:hAnsi="Times New Roman" w:eastAsia="宋体" w:cs="Times New Roman"/>
                <w:b w:val="0"/>
                <w:bCs w:val="0"/>
                <w:color w:val="auto"/>
                <w:sz w:val="21"/>
                <w:szCs w:val="21"/>
                <w:highlight w:val="none"/>
              </w:rPr>
              <w:t>。</w:t>
            </w:r>
          </w:p>
        </w:tc>
        <w:tc>
          <w:tcPr>
            <w:tcW w:w="1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供热</w:t>
            </w:r>
          </w:p>
        </w:tc>
        <w:tc>
          <w:tcPr>
            <w:tcW w:w="4947" w:type="dxa"/>
            <w:noWrap w:val="0"/>
            <w:tcMar>
              <w:top w:w="0" w:type="dxa"/>
              <w:left w:w="51" w:type="dxa"/>
              <w:bottom w:w="0" w:type="dxa"/>
              <w:right w:w="51" w:type="dxa"/>
            </w:tcMar>
            <w:vAlign w:val="center"/>
          </w:tcPr>
          <w:p>
            <w:pPr>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项目</w:t>
            </w:r>
            <w:r>
              <w:rPr>
                <w:rFonts w:hint="eastAsia" w:ascii="Times New Roman" w:hAnsi="Times New Roman" w:eastAsia="宋体" w:cs="Times New Roman"/>
                <w:b w:val="0"/>
                <w:bCs w:val="0"/>
                <w:color w:val="auto"/>
                <w:kern w:val="2"/>
                <w:sz w:val="21"/>
                <w:szCs w:val="21"/>
                <w:highlight w:val="none"/>
                <w:lang w:val="en-US" w:eastAsia="zh-CN"/>
              </w:rPr>
              <w:t>生产过程使用电加热</w:t>
            </w:r>
            <w:r>
              <w:rPr>
                <w:rFonts w:hint="default" w:ascii="Times New Roman" w:hAnsi="Times New Roman" w:eastAsia="宋体" w:cs="Times New Roman"/>
                <w:b w:val="0"/>
                <w:bCs w:val="0"/>
                <w:color w:val="auto"/>
                <w:kern w:val="2"/>
                <w:sz w:val="21"/>
                <w:szCs w:val="21"/>
                <w:highlight w:val="none"/>
              </w:rPr>
              <w:t>，冬季取暖采用空调。</w:t>
            </w:r>
          </w:p>
        </w:tc>
        <w:tc>
          <w:tcPr>
            <w:tcW w:w="1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2505"/>
        <w:gridCol w:w="2442"/>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643"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环保工程</w:t>
            </w: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废气</w:t>
            </w:r>
          </w:p>
        </w:tc>
        <w:tc>
          <w:tcPr>
            <w:tcW w:w="4947" w:type="dxa"/>
            <w:gridSpan w:val="2"/>
            <w:tcBorders/>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color w:val="auto"/>
                <w:kern w:val="2"/>
                <w:szCs w:val="21"/>
                <w:highlight w:val="none"/>
                <w:lang w:val="en-US" w:eastAsia="zh-CN"/>
              </w:rPr>
            </w:pPr>
            <w:r>
              <w:rPr>
                <w:rFonts w:hint="default" w:ascii="Times New Roman" w:hAnsi="Times New Roman" w:eastAsia="宋体" w:cs="Times New Roman"/>
                <w:color w:val="auto"/>
                <w:highlight w:val="none"/>
                <w:lang w:val="en-US" w:eastAsia="zh-CN"/>
              </w:rPr>
              <w:t>有组织：料</w:t>
            </w:r>
            <w:r>
              <w:rPr>
                <w:rFonts w:hint="default" w:ascii="Times New Roman" w:hAnsi="Times New Roman" w:eastAsia="宋体" w:cs="Times New Roman"/>
                <w:color w:val="auto"/>
                <w:highlight w:val="none"/>
                <w:lang w:eastAsia="zh-CN"/>
              </w:rPr>
              <w:t>仓卸料</w:t>
            </w:r>
            <w:r>
              <w:rPr>
                <w:rFonts w:hint="default" w:ascii="Times New Roman" w:hAnsi="Times New Roman" w:eastAsia="宋体" w:cs="Times New Roman"/>
                <w:color w:val="auto"/>
                <w:highlight w:val="none"/>
                <w:lang w:val="en-US" w:eastAsia="zh-CN"/>
              </w:rPr>
              <w:t>废气经</w:t>
            </w:r>
            <w:r>
              <w:rPr>
                <w:rFonts w:hint="default" w:ascii="Times New Roman" w:hAnsi="Times New Roman" w:eastAsia="宋体" w:cs="Times New Roman"/>
                <w:color w:val="auto"/>
                <w:highlight w:val="none"/>
                <w:lang w:eastAsia="zh-CN"/>
              </w:rPr>
              <w:t>各自布袋除尘器</w:t>
            </w:r>
            <w:r>
              <w:rPr>
                <w:rFonts w:hint="default" w:ascii="Times New Roman" w:hAnsi="Times New Roman" w:eastAsia="宋体" w:cs="Times New Roman"/>
                <w:color w:val="auto"/>
                <w:highlight w:val="none"/>
                <w:lang w:val="en-US" w:eastAsia="zh-CN"/>
              </w:rPr>
              <w:t>处理后由同1根</w:t>
            </w:r>
            <w:r>
              <w:rPr>
                <w:rFonts w:hint="default" w:ascii="Times New Roman" w:hAnsi="Times New Roman" w:eastAsia="宋体" w:cs="Times New Roman"/>
                <w:color w:val="auto"/>
                <w:highlight w:val="none"/>
              </w:rPr>
              <w:t>15m高排气筒</w:t>
            </w:r>
            <w:r>
              <w:rPr>
                <w:rFonts w:hint="default" w:ascii="Times New Roman" w:hAnsi="Times New Roman" w:eastAsia="宋体" w:cs="Times New Roman"/>
                <w:color w:val="auto"/>
                <w:highlight w:val="none"/>
                <w:lang w:val="en-US" w:eastAsia="zh-CN"/>
              </w:rPr>
              <w:t>P1排放；</w:t>
            </w:r>
            <w:r>
              <w:rPr>
                <w:rFonts w:hint="default" w:ascii="Times New Roman" w:hAnsi="Times New Roman" w:eastAsia="宋体" w:cs="Times New Roman"/>
                <w:color w:val="auto"/>
                <w:kern w:val="2"/>
                <w:szCs w:val="21"/>
                <w:highlight w:val="none"/>
                <w:lang w:val="en-US" w:eastAsia="zh-CN"/>
              </w:rPr>
              <w:t>配料、搅拌废气经集气罩收集后送至布袋除尘器进行处理，处理后由15m高排气筒P1排放（与料仓卸料废气共用1根排气筒）。</w:t>
            </w:r>
          </w:p>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无组织：生产车间/原料库密封+洒水抑尘；</w:t>
            </w:r>
            <w:r>
              <w:rPr>
                <w:rFonts w:hint="default" w:ascii="Times New Roman" w:hAnsi="Times New Roman" w:eastAsia="宋体" w:cs="Times New Roman"/>
                <w:color w:val="auto"/>
                <w:szCs w:val="21"/>
                <w:highlight w:val="none"/>
              </w:rPr>
              <w:t>提升皮带</w:t>
            </w:r>
            <w:r>
              <w:rPr>
                <w:rFonts w:hint="default" w:ascii="Times New Roman" w:hAnsi="Times New Roman" w:eastAsia="宋体" w:cs="Times New Roman"/>
                <w:color w:val="auto"/>
                <w:szCs w:val="21"/>
                <w:highlight w:val="none"/>
                <w:lang w:eastAsia="zh-CN"/>
              </w:rPr>
              <w:t>密封；</w:t>
            </w:r>
            <w:r>
              <w:rPr>
                <w:rFonts w:hint="default" w:ascii="Times New Roman" w:hAnsi="Times New Roman" w:eastAsia="宋体" w:cs="Times New Roman"/>
                <w:bCs w:val="0"/>
                <w:snapToGrid w:val="0"/>
                <w:color w:val="auto"/>
                <w:kern w:val="0"/>
                <w:sz w:val="21"/>
                <w:szCs w:val="21"/>
                <w:highlight w:val="none"/>
                <w:lang w:val="en-US" w:eastAsia="zh-CN"/>
              </w:rPr>
              <w:t>厂门口设置进出车辆清洗设备，出入运料车辆冲洗，车辆苫布覆盖</w:t>
            </w:r>
            <w:r>
              <w:rPr>
                <w:rFonts w:hint="default" w:ascii="Times New Roman" w:hAnsi="Times New Roman" w:eastAsia="宋体" w:cs="Times New Roman"/>
                <w:color w:val="auto"/>
                <w:highlight w:val="none"/>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废水</w:t>
            </w:r>
          </w:p>
        </w:tc>
        <w:tc>
          <w:tcPr>
            <w:tcW w:w="4947" w:type="dxa"/>
            <w:gridSpan w:val="2"/>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项目搅拌用水进入产品，不外排</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lang w:val="en-US" w:eastAsia="zh-CN"/>
              </w:rPr>
              <w:t>生活污水水量较少，水质简单，</w:t>
            </w:r>
            <w:r>
              <w:rPr>
                <w:rFonts w:hint="default" w:ascii="Times New Roman" w:hAnsi="Times New Roman" w:eastAsia="宋体" w:cs="Times New Roman"/>
                <w:b w:val="0"/>
                <w:bCs w:val="0"/>
                <w:color w:val="auto"/>
                <w:kern w:val="2"/>
                <w:sz w:val="21"/>
                <w:szCs w:val="21"/>
                <w:highlight w:val="none"/>
              </w:rPr>
              <w:t>厂内设防渗旱厕，定期清掏，</w:t>
            </w:r>
            <w:r>
              <w:rPr>
                <w:rFonts w:hint="default" w:ascii="Times New Roman" w:hAnsi="Times New Roman" w:eastAsia="宋体" w:cs="Times New Roman"/>
                <w:b w:val="0"/>
                <w:bCs w:val="0"/>
                <w:color w:val="auto"/>
                <w:kern w:val="2"/>
                <w:sz w:val="21"/>
                <w:szCs w:val="21"/>
                <w:highlight w:val="none"/>
                <w:lang w:val="en-US" w:eastAsia="zh-CN"/>
              </w:rPr>
              <w:t>用作农肥</w:t>
            </w:r>
            <w:r>
              <w:rPr>
                <w:rFonts w:hint="default" w:ascii="Times New Roman" w:hAnsi="Times New Roman" w:eastAsia="宋体" w:cs="Times New Roman"/>
                <w:b w:val="0"/>
                <w:bCs w:val="0"/>
                <w:color w:val="auto"/>
                <w:sz w:val="21"/>
                <w:szCs w:val="21"/>
                <w:highlight w:val="none"/>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298" w:type="dxa"/>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2505"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除尘灰</w:t>
            </w:r>
          </w:p>
        </w:tc>
        <w:tc>
          <w:tcPr>
            <w:tcW w:w="244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收集后，返回生产工序再利用</w:t>
            </w:r>
          </w:p>
        </w:tc>
        <w:tc>
          <w:tcPr>
            <w:tcW w:w="1632"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298" w:type="dxa"/>
            <w:vMerge w:val="continue"/>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505"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废包装桶</w:t>
            </w:r>
          </w:p>
        </w:tc>
        <w:tc>
          <w:tcPr>
            <w:tcW w:w="244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集中收集后，厂家回收利用</w:t>
            </w:r>
          </w:p>
        </w:tc>
        <w:tc>
          <w:tcPr>
            <w:tcW w:w="1632" w:type="dxa"/>
            <w:vMerge w:val="continue"/>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298" w:type="dxa"/>
            <w:vMerge w:val="continue"/>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505"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职工生活产生的生活垃圾</w:t>
            </w:r>
          </w:p>
        </w:tc>
        <w:tc>
          <w:tcPr>
            <w:tcW w:w="244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收集后委托环卫部门处理</w:t>
            </w:r>
          </w:p>
        </w:tc>
        <w:tc>
          <w:tcPr>
            <w:tcW w:w="1632" w:type="dxa"/>
            <w:vMerge w:val="continue"/>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643"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298"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噪声</w:t>
            </w:r>
          </w:p>
        </w:tc>
        <w:tc>
          <w:tcPr>
            <w:tcW w:w="4947" w:type="dxa"/>
            <w:gridSpan w:val="2"/>
            <w:noWrap w:val="0"/>
            <w:tcMar>
              <w:top w:w="0" w:type="dxa"/>
              <w:left w:w="51" w:type="dxa"/>
              <w:bottom w:w="0" w:type="dxa"/>
              <w:right w:w="51" w:type="dxa"/>
            </w:tcMar>
            <w:vAlign w:val="center"/>
          </w:tcPr>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选用低噪声设备、安装减振装置、生产设备合理布局、厂房隔声等措施。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7"/>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4"/>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526"/>
        <w:gridCol w:w="2646"/>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526"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646"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搅拌机</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MAO 1500/1000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配料机</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PL</w:t>
            </w:r>
            <w:r>
              <w:rPr>
                <w:rFonts w:hint="eastAsia" w:ascii="Times New Roman" w:hAnsi="Times New Roman" w:eastAsia="宋体" w:cs="Times New Roman"/>
                <w:color w:val="000000"/>
                <w:kern w:val="2"/>
                <w:sz w:val="21"/>
                <w:szCs w:val="21"/>
                <w:lang w:val="en-US" w:eastAsia="zh-CN" w:bidi="ar-SA"/>
              </w:rPr>
              <w:t>6</w:t>
            </w:r>
            <w:r>
              <w:rPr>
                <w:rFonts w:hint="default" w:ascii="Times New Roman" w:hAnsi="Times New Roman" w:eastAsia="宋体" w:cs="Times New Roman"/>
                <w:color w:val="000000"/>
                <w:kern w:val="2"/>
                <w:sz w:val="21"/>
                <w:szCs w:val="21"/>
                <w:lang w:val="en-US" w:eastAsia="zh-CN" w:bidi="ar-SA"/>
              </w:rPr>
              <w:t>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料仓</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r>
              <w:rPr>
                <w:rFonts w:hint="default" w:ascii="Times New Roman" w:hAnsi="Times New Roman" w:eastAsia="宋体" w:cs="Times New Roman"/>
                <w:color w:val="000000"/>
                <w:kern w:val="2"/>
                <w:sz w:val="21"/>
                <w:szCs w:val="21"/>
                <w:lang w:val="en-US" w:eastAsia="zh-CN" w:bidi="ar-SA"/>
              </w:rPr>
              <w:t>0t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提升皮带</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bl>
    <w:p>
      <w:pPr>
        <w:pStyle w:val="6"/>
        <w:rPr>
          <w:rFonts w:hint="default" w:ascii="Times New Roman" w:hAnsi="Times New Roman" w:cs="Times New Roman"/>
          <w:color w:val="000000"/>
        </w:rPr>
      </w:pPr>
      <w:bookmarkStart w:id="24" w:name="_Toc504325332"/>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cs="Times New Roman"/>
          <w:b/>
          <w:bCs/>
          <w:color w:val="auto"/>
          <w:sz w:val="24"/>
          <w:szCs w:val="22"/>
          <w:highlight w:val="none"/>
          <w:lang w:eastAsia="zh-CN"/>
        </w:rPr>
        <w:pict>
          <v:shape id="_x0000_s1196" o:spid="_x0000_s1196" o:spt="75" type="#_x0000_t75" style="position:absolute;left:0pt;margin-left:0.2pt;margin-top:15.45pt;height:139.9pt;width:426.75pt;z-index:251664384;mso-width-relative:page;mso-height-relative:page;" o:ole="t" filled="f" o:preferrelative="t" stroked="f" coordsize="21600,21600">
            <v:path/>
            <v:fill on="f" focussize="0,0"/>
            <v:stroke on="f"/>
            <v:imagedata r:id="rId9" o:title=""/>
            <o:lock v:ext="edit" aspectratio="f"/>
          </v:shape>
          <o:OLEObject Type="Embed" ProgID="Visio.Drawing.11" ShapeID="_x0000_s1196" DrawAspect="Content" ObjectID="_1468075725" r:id="rId8">
            <o:LockedField>false</o:LockedField>
          </o:OLEObject>
        </w:pict>
      </w: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p>
    <w:p>
      <w:pPr>
        <w:spacing w:line="480" w:lineRule="atLeast"/>
        <w:jc w:val="center"/>
        <w:rPr>
          <w:rFonts w:hint="default" w:ascii="Times New Roman" w:hAnsi="Times New Roman" w:eastAsia="宋体" w:cs="Times New Roman"/>
          <w:sz w:val="24"/>
          <w:szCs w:val="24"/>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原料储存：本项目主要原料为石子、沙子、水泥、粉煤灰、矿粉以及外加剂，其中水泥、粉煤灰和矿粉由罐车运至厂区于密封生产出车间中料仓储存，沙子、石子由货车运至密闭原料库储存，外加剂采用铁罐储存于生产车间。</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排污节点：沙子、石子装卸以及水泥、粉煤灰、矿粉车卸料过程产生的颗粒物及车辆运输噪声。</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（2）配料：配料时，将沙子、石子运至配料仓，水泥用螺旋输送机将物料通过密闭管道输送至配料机中进行配料，配料机全密闭，同时放置在封闭的生产车间内。</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排污节点：配料过程产生的颗粒物，配料机运行噪声。</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搅拌：配料完成的物料通过皮带提升至搅拌机中，该过程全密闭，料仓内的粉煤灰、矿粉分别用螺旋输送机将物料通过密闭管道输送至搅拌机，搅拌过程加入水和外加剂，其中搅拌用水通过压力泵给水，液态的外加剂采用泵送方式加料。</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排污节点：搅拌过程产生的颗粒物及搅拌机运行噪声。</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（4）成品：搅拌好的混凝土经出料口输入混凝土运输车外售运至工地利用，出料口阀门由空压机控制。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504325335"/>
      <w:bookmarkStart w:id="28" w:name="_Toc497001447"/>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w:t>
      </w:r>
      <w:r>
        <w:rPr>
          <w:rFonts w:hint="eastAsia" w:ascii="Times New Roman" w:hAnsi="Times New Roman" w:eastAsia="宋体" w:cs="Times New Roman"/>
          <w:sz w:val="24"/>
          <w:szCs w:val="24"/>
          <w:lang w:val="en-US" w:eastAsia="zh-CN"/>
        </w:rPr>
        <w:t>卧佛堂镇供水系统提供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排水：项目搅拌用水进入产品，不外排；生活废水主要为职工生活污水，排水水量少，水质简单，厂内设防渗旱厕，定期清掏，用作农肥</w:t>
      </w:r>
      <w:r>
        <w:rPr>
          <w:rFonts w:hint="eastAsia" w:ascii="Times New Roman" w:hAnsi="Times New Roman" w:eastAsia="宋体" w:cs="Times New Roman"/>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7001448"/>
      <w:bookmarkStart w:id="32" w:name="_Toc496979012"/>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eastAsia="zh-CN"/>
        </w:rPr>
        <w:t>卧佛堂镇供电系统提供</w:t>
      </w:r>
      <w:r>
        <w:rPr>
          <w:rFonts w:hint="default" w:ascii="Times New Roman" w:hAnsi="Times New Roman" w:eastAsia="宋体" w:cs="Times New Roman"/>
          <w:szCs w:val="21"/>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河北佳萌环保科技有限公司</w:t>
      </w:r>
      <w:r>
        <w:rPr>
          <w:rFonts w:hint="eastAsia" w:ascii="Times New Roman" w:hAnsi="Times New Roman" w:eastAsia="宋体" w:cs="Times New Roman"/>
          <w:sz w:val="24"/>
          <w:szCs w:val="24"/>
          <w:lang w:eastAsia="zh-CN"/>
        </w:rPr>
        <w:t>于2021年06月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2021年06月29日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河环表[2021]（06-37）号</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60万元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4"/>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91"/>
        <w:gridCol w:w="1248"/>
        <w:gridCol w:w="2235"/>
        <w:gridCol w:w="190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0"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val="0"/>
                <w:bC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要素</w:t>
            </w:r>
          </w:p>
        </w:tc>
        <w:tc>
          <w:tcPr>
            <w:tcW w:w="1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排放口(编号、名称)/污染源</w:t>
            </w:r>
          </w:p>
        </w:tc>
        <w:tc>
          <w:tcPr>
            <w:tcW w:w="12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污染物项目</w:t>
            </w:r>
          </w:p>
        </w:tc>
        <w:tc>
          <w:tcPr>
            <w:tcW w:w="22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环境保护措施</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执行标准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大气环境</w:t>
            </w:r>
          </w:p>
        </w:tc>
        <w:tc>
          <w:tcPr>
            <w:tcW w:w="129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val="0"/>
              <w:snapToGrid/>
              <w:spacing w:line="300" w:lineRule="exact"/>
              <w:ind w:right="113" w:right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料仓、配料、搅拌废气排气筒（DA001）</w:t>
            </w:r>
          </w:p>
        </w:tc>
        <w:tc>
          <w:tcPr>
            <w:tcW w:w="12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2235" w:type="dxa"/>
            <w:tcBorders>
              <w:tl2br w:val="nil"/>
              <w:tr2bl w:val="nil"/>
            </w:tcBorders>
            <w:noWrap w:val="0"/>
            <w:vAlign w:val="center"/>
          </w:tcPr>
          <w:p>
            <w:pPr>
              <w:pStyle w:val="129"/>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料仓卸料废气经各自布袋除尘器处理后由同1根15m高排气筒P1排放；配料、搅拌废气经集气罩收集后送至布袋除尘器进行处理，处理后由15m高排气筒P1排放（与料仓卸料废气共用1根排气筒）</w:t>
            </w:r>
          </w:p>
        </w:tc>
        <w:tc>
          <w:tcPr>
            <w:tcW w:w="1900" w:type="dxa"/>
            <w:tcBorders>
              <w:tl2br w:val="nil"/>
              <w:tr2bl w:val="nil"/>
            </w:tcBorders>
            <w:noWrap w:val="0"/>
            <w:vAlign w:val="center"/>
          </w:tcPr>
          <w:p>
            <w:pPr>
              <w:pStyle w:val="25"/>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《水泥工业大气污染物超低排放标准》(DB13/2167-2020)表1水泥仓及其他通风生产设备大气污染物排放限值</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12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129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生产车间</w:t>
            </w:r>
          </w:p>
          <w:p>
            <w:pPr>
              <w:adjustRightInd w:val="0"/>
              <w:snapToGrid w:val="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（无组织）</w:t>
            </w:r>
          </w:p>
        </w:tc>
        <w:tc>
          <w:tcPr>
            <w:tcW w:w="1248" w:type="dxa"/>
            <w:tcBorders>
              <w:tl2br w:val="nil"/>
              <w:tr2bl w:val="nil"/>
            </w:tcBorders>
            <w:noWrap w:val="0"/>
            <w:vAlign w:val="center"/>
          </w:tcPr>
          <w:p>
            <w:pPr>
              <w:spacing w:line="32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2235" w:type="dxa"/>
            <w:tcBorders>
              <w:tl2br w:val="nil"/>
              <w:tr2bl w:val="nil"/>
            </w:tcBorders>
            <w:noWrap w:val="0"/>
            <w:vAlign w:val="center"/>
          </w:tcPr>
          <w:p>
            <w:pPr>
              <w:pStyle w:val="14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生产车间/原料库密封+洒水抑尘；提升皮带密封；厂门口设置进出车辆清洗设备，出入运料车辆冲洗，车辆苫布覆盖</w:t>
            </w:r>
          </w:p>
        </w:tc>
        <w:tc>
          <w:tcPr>
            <w:tcW w:w="1900" w:type="dxa"/>
            <w:tcBorders>
              <w:tl2br w:val="nil"/>
              <w:tr2bl w:val="nil"/>
            </w:tcBorders>
            <w:noWrap w:val="0"/>
            <w:vAlign w:val="center"/>
          </w:tcPr>
          <w:p>
            <w:pPr>
              <w:pStyle w:val="14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《水泥工业大气污染物超低排放标准》(DB13/2167-2020)表2大气污染物无组织排放限值</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2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sz w:val="21"/>
                <w:szCs w:val="21"/>
              </w:rPr>
              <w:t>地表水环境</w:t>
            </w:r>
          </w:p>
        </w:tc>
        <w:tc>
          <w:tcPr>
            <w:tcW w:w="1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搅拌用水</w:t>
            </w:r>
          </w:p>
        </w:tc>
        <w:tc>
          <w:tcPr>
            <w:tcW w:w="12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SS</w:t>
            </w:r>
          </w:p>
        </w:tc>
        <w:tc>
          <w:tcPr>
            <w:tcW w:w="22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进入产品</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不外排</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b w:val="0"/>
                <w:bCs w:val="0"/>
                <w:color w:val="auto"/>
                <w:spacing w:val="0"/>
                <w:sz w:val="21"/>
                <w:szCs w:val="21"/>
              </w:rPr>
            </w:pPr>
          </w:p>
        </w:tc>
        <w:tc>
          <w:tcPr>
            <w:tcW w:w="1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生活污水</w:t>
            </w:r>
          </w:p>
        </w:tc>
        <w:tc>
          <w:tcPr>
            <w:tcW w:w="12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COD</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SS</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氨氮等</w:t>
            </w:r>
          </w:p>
        </w:tc>
        <w:tc>
          <w:tcPr>
            <w:tcW w:w="22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排入厂区旱厕，定期清掏，用作农肥</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不外排</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bl>
    <w:p>
      <w:r>
        <w:br w:type="page"/>
      </w:r>
    </w:p>
    <w:p>
      <w:pPr>
        <w:pStyle w:val="2"/>
        <w:rPr>
          <w:rFonts w:hint="eastAsia" w:eastAsia="宋体"/>
          <w:lang w:val="en-US" w:eastAsia="zh-CN"/>
        </w:rPr>
      </w:pPr>
      <w:r>
        <w:rPr>
          <w:rFonts w:hint="eastAsia"/>
          <w:lang w:val="en-US" w:eastAsia="zh-CN"/>
        </w:rPr>
        <w:t>续上表</w:t>
      </w:r>
    </w:p>
    <w:tbl>
      <w:tblPr>
        <w:tblStyle w:val="34"/>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91"/>
        <w:gridCol w:w="1241"/>
        <w:gridCol w:w="7"/>
        <w:gridCol w:w="2235"/>
        <w:gridCol w:w="1890"/>
        <w:gridCol w:w="10"/>
        <w:gridCol w:w="1014"/>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声环境</w:t>
            </w:r>
          </w:p>
        </w:tc>
        <w:tc>
          <w:tcPr>
            <w:tcW w:w="1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设备噪声</w:t>
            </w:r>
          </w:p>
        </w:tc>
        <w:tc>
          <w:tcPr>
            <w:tcW w:w="12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A声级</w:t>
            </w:r>
          </w:p>
        </w:tc>
        <w:tc>
          <w:tcPr>
            <w:tcW w:w="22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厂房隔声</w:t>
            </w:r>
          </w:p>
        </w:tc>
        <w:tc>
          <w:tcPr>
            <w:tcW w:w="19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2类标准</w:t>
            </w:r>
          </w:p>
        </w:tc>
        <w:tc>
          <w:tcPr>
            <w:tcW w:w="10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163" w:hRule="atLeast"/>
          <w:jc w:val="center"/>
        </w:trPr>
        <w:tc>
          <w:tcPr>
            <w:tcW w:w="12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固体废物</w:t>
            </w:r>
          </w:p>
        </w:tc>
        <w:tc>
          <w:tcPr>
            <w:tcW w:w="12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废气处理设施</w:t>
            </w:r>
          </w:p>
        </w:tc>
        <w:tc>
          <w:tcPr>
            <w:tcW w:w="124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除尘灰</w:t>
            </w:r>
          </w:p>
        </w:tc>
        <w:tc>
          <w:tcPr>
            <w:tcW w:w="224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收集后，返回生产工序再利用</w:t>
            </w:r>
          </w:p>
        </w:tc>
        <w:tc>
          <w:tcPr>
            <w:tcW w:w="1890" w:type="dxa"/>
            <w:tcBorders>
              <w:tl2br w:val="nil"/>
              <w:tr2bl w:val="nil"/>
            </w:tcBorders>
            <w:noWrap w:val="0"/>
            <w:vAlign w:val="center"/>
          </w:tcPr>
          <w:p>
            <w:pPr>
              <w:pStyle w:val="25"/>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一般固废参照执行《一般工业固体废物贮存、处置场污染控制标准》(GB18599-2001) 及2013年修改单要求</w:t>
            </w:r>
          </w:p>
        </w:tc>
        <w:tc>
          <w:tcPr>
            <w:tcW w:w="1024"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163" w:hRule="atLeast"/>
          <w:jc w:val="center"/>
        </w:trPr>
        <w:tc>
          <w:tcPr>
            <w:tcW w:w="12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生产过程</w:t>
            </w:r>
          </w:p>
        </w:tc>
        <w:tc>
          <w:tcPr>
            <w:tcW w:w="124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废包装桶</w:t>
            </w:r>
          </w:p>
        </w:tc>
        <w:tc>
          <w:tcPr>
            <w:tcW w:w="224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集中收集后，厂家回收利用</w:t>
            </w:r>
          </w:p>
        </w:tc>
        <w:tc>
          <w:tcPr>
            <w:tcW w:w="1890"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rPr>
            </w:pPr>
          </w:p>
        </w:tc>
        <w:tc>
          <w:tcPr>
            <w:tcW w:w="1024"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163" w:hRule="atLeast"/>
          <w:jc w:val="center"/>
        </w:trPr>
        <w:tc>
          <w:tcPr>
            <w:tcW w:w="12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职工生活</w:t>
            </w:r>
          </w:p>
        </w:tc>
        <w:tc>
          <w:tcPr>
            <w:tcW w:w="1241" w:type="dxa"/>
            <w:tcBorders>
              <w:tl2br w:val="nil"/>
              <w:tr2bl w:val="nil"/>
            </w:tcBorders>
            <w:noWrap w:val="0"/>
            <w:vAlign w:val="center"/>
          </w:tcPr>
          <w:p>
            <w:pPr>
              <w:pStyle w:val="25"/>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Style w:val="141"/>
                <w:rFonts w:hint="default" w:ascii="Times New Roman" w:hAnsi="Times New Roman" w:eastAsia="宋体" w:cs="Times New Roman"/>
                <w:b w:val="0"/>
                <w:bCs w:val="0"/>
                <w:color w:val="auto"/>
                <w:sz w:val="21"/>
                <w:szCs w:val="21"/>
                <w:highlight w:val="none"/>
                <w:lang w:val="en-US" w:eastAsia="zh-CN"/>
              </w:rPr>
              <w:t>生活垃圾</w:t>
            </w:r>
          </w:p>
        </w:tc>
        <w:tc>
          <w:tcPr>
            <w:tcW w:w="224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收集后委托环卫部门处理</w:t>
            </w:r>
          </w:p>
        </w:tc>
        <w:tc>
          <w:tcPr>
            <w:tcW w:w="1890" w:type="dxa"/>
            <w:tcBorders>
              <w:tl2br w:val="nil"/>
              <w:tr2bl w:val="nil"/>
            </w:tcBorders>
            <w:noWrap w:val="0"/>
            <w:vAlign w:val="center"/>
          </w:tcPr>
          <w:p>
            <w:pPr>
              <w:pStyle w:val="25"/>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《中华人民共和国固体废物污染环境防治法》管理要求</w:t>
            </w:r>
          </w:p>
        </w:tc>
        <w:tc>
          <w:tcPr>
            <w:tcW w:w="1024"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171" w:hRule="atLeast"/>
          <w:jc w:val="center"/>
        </w:trPr>
        <w:tc>
          <w:tcPr>
            <w:tcW w:w="1270" w:type="dxa"/>
            <w:tcBorders>
              <w:tl2br w:val="nil"/>
              <w:tr2bl w:val="nil"/>
            </w:tcBorders>
            <w:noWrap w:val="0"/>
            <w:vAlign w:val="center"/>
          </w:tcPr>
          <w:p>
            <w:pPr>
              <w:snapToGrid w:val="0"/>
              <w:spacing w:line="38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土壤及地下水污染防治措施</w:t>
            </w:r>
          </w:p>
        </w:tc>
        <w:tc>
          <w:tcPr>
            <w:tcW w:w="6664"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生产车间为一般防渗区，采用地面硬化处理。其他区域不做防渗要求。</w:t>
            </w:r>
            <w:r>
              <w:rPr>
                <w:rFonts w:hint="default" w:ascii="Times New Roman" w:hAnsi="Times New Roman" w:eastAsia="宋体" w:cs="Times New Roman"/>
                <w:b w:val="0"/>
                <w:bCs w:val="0"/>
                <w:color w:val="auto"/>
                <w:kern w:val="0"/>
                <w:sz w:val="21"/>
                <w:szCs w:val="21"/>
              </w:rPr>
              <w:t>。</w:t>
            </w:r>
          </w:p>
        </w:tc>
        <w:tc>
          <w:tcPr>
            <w:tcW w:w="102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已做硬化及防渗处理</w:t>
            </w:r>
          </w:p>
        </w:tc>
      </w:tr>
    </w:tbl>
    <w:p>
      <w:pPr>
        <w:pStyle w:val="6"/>
        <w:rPr>
          <w:rFonts w:hint="default" w:ascii="Times New Roman" w:hAnsi="Times New Roman" w:cs="Times New Roman"/>
        </w:rPr>
      </w:pPr>
      <w:bookmarkStart w:id="38" w:name="_Toc504325342"/>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河间市卧佛堂镇张侯村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项目搅拌用水进入产品，不外排；生活废水主要为职工生活污水，排水水量少，水质简单，厂内设防渗旱厕，定期清掏，用作农肥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②废气──项目料仓、配料、搅拌工序废气经布袋除尘器处理后经1根15m高排气筒排放；塑化挤出、压延成型工序废气经油烟净化器+二级活性炭吸附装置处理后经1根15m高排气筒排放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6"/>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7"/>
        <w:spacing w:line="440" w:lineRule="atLeast"/>
        <w:rPr>
          <w:rFonts w:hint="default" w:ascii="Times New Roman" w:hAnsi="Times New Roman" w:cs="Times New Roman"/>
        </w:rPr>
      </w:pPr>
      <w:bookmarkStart w:id="42" w:name="_Toc497001461"/>
      <w:bookmarkStart w:id="43" w:name="_Toc504325346"/>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项目搅拌用水进入产品，不外排；生活废水主要为职工生活污水，排水水量少，水质简单，厂内设防渗旱厕，定期清掏，用作农肥。</w:t>
      </w:r>
    </w:p>
    <w:p>
      <w:pPr>
        <w:pStyle w:val="7"/>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水泥、粉煤灰和矿粉通过密闭罐车与料仓管道封闭直连，以压缩空气吹入形式进入料仓内，然后再通过密闭、计量给料，向料仓卸料时会产生废气，本项目生产过程中配料、搅拌过程会中产生颗粒物排放，本项目设4个料仓存罐，4个料仓经各自布袋除尘器处理后与布袋除尘器处理的配料、搅拌废气一同经15m高排气筒P1排放。</w:t>
      </w:r>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未被收集的废气以无组织形式排放</w:t>
      </w:r>
      <w:r>
        <w:rPr>
          <w:rFonts w:hint="default" w:ascii="Times New Roman" w:hAnsi="Times New Roman" w:eastAsia="宋体" w:cs="Times New Roman"/>
          <w:sz w:val="24"/>
          <w:szCs w:val="24"/>
          <w:lang w:eastAsia="zh-CN"/>
        </w:rPr>
        <w:t>。</w:t>
      </w:r>
    </w:p>
    <w:p>
      <w:pPr>
        <w:pStyle w:val="7"/>
        <w:rPr>
          <w:rFonts w:hint="default" w:ascii="Times New Roman" w:hAnsi="Times New Roman" w:cs="Times New Roman"/>
        </w:rPr>
      </w:pPr>
      <w:bookmarkStart w:id="48" w:name="_Toc497001463"/>
      <w:bookmarkStart w:id="49" w:name="_Toc504325348"/>
      <w:bookmarkStart w:id="50" w:name="_Toc496979026"/>
      <w:r>
        <w:rPr>
          <w:rFonts w:hint="default" w:ascii="Times New Roman" w:hAnsi="Times New Roman" w:cs="Times New Roman"/>
        </w:rPr>
        <w:t>3.2.3噪声</w:t>
      </w:r>
      <w:bookmarkEnd w:id="48"/>
      <w:bookmarkEnd w:id="49"/>
      <w:bookmarkEnd w:id="50"/>
    </w:p>
    <w:p>
      <w:pPr>
        <w:pStyle w:val="62"/>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项目运营期主要噪声源为搅拌机、配料机等设备运行产生噪声，项目主要产噪设备均在厂房内合理布置，并采取隔声减震等降噪措施后，排入周边环境</w:t>
      </w:r>
      <w:r>
        <w:rPr>
          <w:rFonts w:hint="default" w:ascii="Times New Roman" w:hAnsi="Times New Roman" w:eastAsia="宋体" w:cs="Times New Roman"/>
          <w:spacing w:val="0"/>
          <w:sz w:val="24"/>
          <w:szCs w:val="24"/>
        </w:rPr>
        <w:t>。</w:t>
      </w:r>
    </w:p>
    <w:p>
      <w:pPr>
        <w:pStyle w:val="7"/>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89"/>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固体废物主要为除尘灰、废包装桶及职工生活垃圾。其中，除尘灰主要包括料仓除尘器和布袋除尘器收集粉尘，除尘灰收集后，返回生产工序再利用；废包装桶主要为外加剂包装桶，集中收集后厂家回收利用；生活垃圾统一收集后交由环卫部门进行处理</w:t>
      </w:r>
      <w:r>
        <w:rPr>
          <w:rFonts w:hint="eastAsia" w:ascii="Times New Roman" w:hAnsi="Times New Roman" w:cs="Times New Roman"/>
          <w:spacing w:val="0"/>
          <w:kern w:val="2"/>
          <w:sz w:val="24"/>
          <w:szCs w:val="24"/>
          <w:lang w:val="en-US" w:eastAsia="zh-CN" w:bidi="ar-SA"/>
        </w:rPr>
        <w:t>。</w:t>
      </w:r>
    </w:p>
    <w:bookmarkEnd w:id="54"/>
    <w:p>
      <w:pPr>
        <w:pStyle w:val="9"/>
        <w:rPr>
          <w:rFonts w:hint="eastAsia" w:ascii="Times New Roman" w:hAnsi="Times New Roman" w:eastAsia="宋体" w:cs="Times New Roman"/>
          <w:sz w:val="24"/>
          <w:szCs w:val="24"/>
          <w:lang w:eastAsia="zh-CN"/>
        </w:rPr>
      </w:pPr>
      <w:bookmarkStart w:id="55" w:name="_Toc504325351"/>
    </w:p>
    <w:p>
      <w:pPr>
        <w:pStyle w:val="9"/>
        <w:rPr>
          <w:rFonts w:hint="default" w:ascii="Times New Roman" w:hAnsi="Times New Roman" w:cs="Times New Roman"/>
        </w:rPr>
      </w:pPr>
    </w:p>
    <w:p>
      <w:pPr>
        <w:pStyle w:val="9"/>
        <w:rPr>
          <w:rFonts w:hint="default" w:ascii="Times New Roman" w:hAnsi="Times New Roman" w:cs="Times New Roman"/>
        </w:rPr>
      </w:pPr>
    </w:p>
    <w:p>
      <w:pPr>
        <w:pStyle w:val="9"/>
        <w:jc w:val="center"/>
        <w:rPr>
          <w:rFonts w:hint="default" w:ascii="Times New Roman" w:hAnsi="Times New Roman" w:cs="Times New Roman"/>
        </w:rPr>
      </w:pPr>
    </w:p>
    <w:p>
      <w:pPr>
        <w:pStyle w:val="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504325353"/>
      <w:bookmarkStart w:id="58" w:name="_Toc497001467"/>
      <w:bookmarkStart w:id="59" w:name="_Toc496979030"/>
      <w:r>
        <w:rPr>
          <w:rFonts w:hint="default" w:ascii="Times New Roman" w:hAnsi="Times New Roman" w:cs="Times New Roman"/>
        </w:rPr>
        <w:t>4.1.1主要结论</w:t>
      </w:r>
      <w:bookmarkEnd w:id="57"/>
      <w:bookmarkEnd w:id="58"/>
      <w:bookmarkEnd w:id="59"/>
    </w:p>
    <w:p>
      <w:pPr>
        <w:pStyle w:val="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504325354"/>
      <w:bookmarkStart w:id="61" w:name="_Toc497001468"/>
      <w:bookmarkStart w:id="62" w:name="_Toc496979031"/>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综上所述，在落实环境管理，执行环保各项制度和正确稳定运行施行各项环保设施措施的前提下，从环境保护角度分析，项目建设可行</w:t>
      </w:r>
      <w:r>
        <w:rPr>
          <w:rFonts w:hint="eastAsia" w:ascii="Times New Roman" w:hAnsi="Times New Roman" w:cs="Times New Roman"/>
          <w:sz w:val="24"/>
          <w:szCs w:val="24"/>
          <w:lang w:val="en-US" w:eastAsia="zh-CN"/>
        </w:rPr>
        <w:t>。</w:t>
      </w:r>
    </w:p>
    <w:bookmarkEnd w:id="60"/>
    <w:bookmarkEnd w:id="61"/>
    <w:bookmarkEnd w:id="62"/>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2021年06月29日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河环表[2021]（06-37）号。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4"/>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河间市江帅建材有限公司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河间市卧佛堂镇张侯村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60"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废气：料仓、配料、搅拌工序废气经布袋除尘器处理后，颗粒物要达到《水泥工业大气污染物超低排放标准》（DB13/2167-2020)表1及表2标准</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0"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废水：搅拌用水进入产品，生活污水排入厂区旱厕定期清掏，均不得外排。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9"/>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6"/>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7"/>
        <w:rPr>
          <w:rFonts w:hint="default" w:ascii="Times New Roman" w:hAnsi="Times New Roman" w:cs="Times New Roman"/>
        </w:rPr>
      </w:pPr>
      <w:bookmarkStart w:id="68" w:name="_Toc497001474"/>
      <w:bookmarkStart w:id="69" w:name="_Toc496979035"/>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《水泥工业大气污染物超低排放标准》(DB13/2167-2020)表1水泥仓及其他通风生产设备大气污染物排放限值、表2大气污染物无组织排放限值。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4"/>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料仓、配料、搅拌工序</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r>
              <w:rPr>
                <w:rFonts w:hint="default" w:ascii="Times New Roman" w:hAnsi="Times New Roman" w:eastAsia="宋体" w:cs="Times New Roman"/>
                <w:b w:val="0"/>
                <w:bCs/>
                <w:sz w:val="21"/>
                <w:szCs w:val="21"/>
              </w:rPr>
              <w:t>排放</w:t>
            </w:r>
            <w:r>
              <w:rPr>
                <w:rFonts w:hint="eastAsia" w:ascii="Times New Roman" w:hAnsi="Times New Roman" w:eastAsia="宋体" w:cs="Times New Roman"/>
                <w:b w:val="0"/>
                <w:bCs/>
                <w:sz w:val="21"/>
                <w:szCs w:val="21"/>
                <w:lang w:val="en-US" w:eastAsia="zh-CN"/>
              </w:rPr>
              <w:t>速率</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3.5k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《水泥工业大气污染物超低排放标准》(DB13/2167-2020)表1水泥仓及其他通风生产设备大气污染物排放限值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TSP</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《水泥工业大气污染物超低排放标准》(DB13/2167-2020)表2大气污染物无组织排放限值</w:t>
            </w:r>
          </w:p>
        </w:tc>
      </w:tr>
    </w:tbl>
    <w:p>
      <w:pPr>
        <w:pStyle w:val="7"/>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6"/>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6"/>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6"/>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6"/>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6"/>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6"/>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本项目污染物总量控制指标建议为：化学需氧量：0t/a、氨氮：0t/a、二氧化硫：0t/a、氮氧化物：0t/a、颗粒物：0.18t/a</w:t>
      </w:r>
      <w:r>
        <w:rPr>
          <w:rFonts w:hint="default" w:ascii="Times New Roman" w:hAnsi="Times New Roman" w:eastAsia="宋体" w:cs="Times New Roman"/>
          <w:sz w:val="24"/>
          <w:szCs w:val="24"/>
          <w:lang w:val="en-US" w:eastAsia="zh-CN"/>
        </w:rPr>
        <w:t>。</w:t>
      </w:r>
    </w:p>
    <w:p>
      <w:pPr>
        <w:pStyle w:val="5"/>
        <w:rPr>
          <w:rFonts w:hint="default" w:ascii="Times New Roman" w:hAnsi="Times New Roman" w:cs="Times New Roman"/>
        </w:rPr>
      </w:pPr>
      <w:bookmarkStart w:id="79" w:name="_Toc504325363"/>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2022年12月15日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2022年12月16日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497001482"/>
      <w:bookmarkStart w:id="84" w:name="_Toc504325366"/>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料仓、配料、搅拌工序废气排气筒出口设1个检测点位</w:t>
            </w:r>
          </w:p>
        </w:tc>
        <w:tc>
          <w:tcPr>
            <w:tcW w:w="2140"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颗粒物</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7"/>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颗粒物</w:t>
            </w:r>
          </w:p>
        </w:tc>
        <w:tc>
          <w:tcPr>
            <w:tcW w:w="2869"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低浓度颗粒物的测定 重量法》</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HJ 836-2017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YQ3000-C全自动烟尘（气）测试仪（YQ 029-0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053-01）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br w:type="page"/>
            </w:r>
            <w:r>
              <w:rPr>
                <w:rFonts w:hint="default" w:ascii="Times New Roman" w:hAnsi="Times New Roman" w:eastAsia="宋体" w:cs="Times New Roman"/>
                <w:sz w:val="21"/>
                <w:szCs w:val="21"/>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重量法》（含修改单）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GB/T 15432-1995</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0.001mg/m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ZR-3920环境空气颗粒物</w:t>
            </w: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rPr>
              <w:t>采样器（YQ 055-</w:t>
            </w:r>
            <w:r>
              <w:rPr>
                <w:rFonts w:hint="default" w:ascii="Times New Roman" w:hAnsi="Times New Roman" w:eastAsia="宋体" w:cs="Times New Roman"/>
                <w:sz w:val="21"/>
                <w:szCs w:val="21"/>
                <w:lang w:val="en-US" w:eastAsia="zh-CN"/>
              </w:rPr>
              <w:t>05、06、07、08</w:t>
            </w:r>
            <w:r>
              <w:rPr>
                <w:rFonts w:hint="default" w:ascii="Times New Roman" w:hAnsi="Times New Roman" w:eastAsia="宋体" w:cs="Times New Roman"/>
                <w:sz w:val="21"/>
                <w:szCs w:val="21"/>
              </w:rPr>
              <w:t>）</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FYF-1</w:t>
            </w:r>
            <w:r>
              <w:rPr>
                <w:rFonts w:hint="default" w:ascii="Times New Roman" w:hAnsi="Times New Roman" w:eastAsia="宋体" w:cs="Times New Roman"/>
                <w:sz w:val="21"/>
                <w:szCs w:val="21"/>
              </w:rPr>
              <w:t>型轻便三杯风向风速表</w:t>
            </w:r>
          </w:p>
          <w:p>
            <w:pPr>
              <w:pStyle w:val="9"/>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FA-2004B电子天平</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009-02）</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22"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AWA5688多功能声级计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035-02）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FYF-1型轻便三杯风向风速表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038-02）</w:t>
            </w:r>
          </w:p>
        </w:tc>
      </w:tr>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rFonts w:hint="default" w:ascii="Times New Roman" w:hAnsi="Times New Roman" w:cs="Times New Roman"/>
          <w:b/>
          <w:spacing w:val="0"/>
          <w:sz w:val="28"/>
          <w:szCs w:val="28"/>
          <w:lang w:eastAsia="zh-CN"/>
        </w:rPr>
        <w:pict>
          <v:shape id="Object 58" o:spid="_x0000_s1198" o:spt="75" type="#_x0000_t75" style="position:absolute;left:0pt;margin-left:201.15pt;margin-top:13.3pt;height:254.95pt;width:243.35pt;z-index:-251650048;mso-width-relative:page;mso-height-relative:page;" o:ole="t" filled="f" o:preferrelative="t" stroked="f" coordsize="21600,21600">
            <v:path/>
            <v:fill on="f" focussize="0,0"/>
            <v:stroke on="f"/>
            <v:imagedata r:id="rId11" croptop="3689f" cropbottom="1316f" o:title=""/>
            <o:lock v:ext="edit" aspectratio="f"/>
          </v:shape>
          <o:OLEObject Type="Embed" ProgID="Visio.Drawing.11" ShapeID="Object 58" DrawAspect="Content" ObjectID="_1468075726" r:id="rId10">
            <o:LockedField>false</o:LockedField>
          </o:OLEObject>
        </w:pict>
      </w:r>
      <w:r>
        <w:rPr>
          <w:rFonts w:hint="default" w:ascii="Times New Roman" w:hAnsi="Times New Roman" w:cs="Times New Roman"/>
          <w:b/>
          <w:spacing w:val="0"/>
          <w:sz w:val="28"/>
          <w:szCs w:val="28"/>
          <w:lang w:eastAsia="zh-CN"/>
        </w:rPr>
        <w:pict>
          <v:shape id="_x0000_s1197" o:spid="_x0000_s1197" o:spt="75" type="#_x0000_t75" style="position:absolute;left:0pt;margin-left:-25.65pt;margin-top:13.3pt;height:254.95pt;width:243.35pt;z-index:-251649024;mso-width-relative:page;mso-height-relative:page;" o:ole="t" filled="f" o:preferrelative="t" stroked="f" coordsize="21600,21600">
            <v:path/>
            <v:fill on="f" focussize="0,0"/>
            <v:stroke on="f"/>
            <v:imagedata r:id="rId13" croptop="3689f" cropbottom="1316f" o:title=""/>
            <o:lock v:ext="edit" aspectratio="f"/>
          </v:shape>
          <o:OLEObject Type="Embed" ProgID="Visio.Drawing.11" ShapeID="_x0000_s1197" DrawAspect="Content" ObjectID="_1468075727" r:id="rId12">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9"/>
        <w:rPr>
          <w:rFonts w:hint="eastAsia" w:ascii="Times New Roman" w:hAnsi="Times New Roman" w:cs="Times New Roman"/>
          <w:bCs/>
          <w:sz w:val="18"/>
          <w:szCs w:val="18"/>
          <w:lang w:eastAsia="zh-CN"/>
        </w:rPr>
      </w:pPr>
    </w:p>
    <w:p>
      <w:pPr>
        <w:pStyle w:val="42"/>
        <w:rPr>
          <w:rFonts w:hint="eastAsia" w:ascii="Times New Roman" w:hAnsi="Times New Roman" w:cs="Times New Roman"/>
          <w:bCs/>
          <w:sz w:val="18"/>
          <w:szCs w:val="18"/>
          <w:lang w:eastAsia="zh-CN"/>
        </w:rPr>
      </w:pPr>
    </w:p>
    <w:p>
      <w:pPr>
        <w:pStyle w:val="42"/>
        <w:rPr>
          <w:rFonts w:hint="eastAsia" w:ascii="Times New Roman" w:hAnsi="Times New Roman" w:cs="Times New Roman"/>
          <w:bCs/>
          <w:sz w:val="18"/>
          <w:szCs w:val="18"/>
          <w:lang w:eastAsia="zh-CN"/>
        </w:rPr>
      </w:pPr>
    </w:p>
    <w:p>
      <w:pPr>
        <w:pStyle w:val="42"/>
        <w:rPr>
          <w:rFonts w:hint="eastAsia" w:ascii="Times New Roman" w:hAnsi="Times New Roman" w:cs="Times New Roman"/>
          <w:bCs/>
          <w:sz w:val="18"/>
          <w:szCs w:val="18"/>
          <w:lang w:eastAsia="zh-CN"/>
        </w:rPr>
      </w:pPr>
    </w:p>
    <w:p>
      <w:pPr>
        <w:pStyle w:val="42"/>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4"/>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料仓、配料、搅拌工序</w:t>
            </w:r>
            <w:r>
              <w:rPr>
                <w:rFonts w:hint="default" w:ascii="Times New Roman" w:hAnsi="Times New Roman"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2022.12.15</w:t>
            </w: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标干流量</w:t>
            </w:r>
          </w:p>
        </w:tc>
        <w:tc>
          <w:tcPr>
            <w:tcW w:w="727"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6342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6462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6422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6462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5.8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5.9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DB13/2167-2020表1</w:t>
            </w:r>
            <w:r>
              <w:rPr>
                <w:rFonts w:hint="eastAsia" w:ascii="Times New Roman" w:hAnsi="Times New Roman" w:eastAsia="宋体" w:cs="Times New Roman"/>
                <w:b w:val="0"/>
                <w:bCs/>
                <w:spacing w:val="0"/>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3.68</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3.81</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3.79</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3.81</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料仓、配料、搅拌工序</w:t>
            </w:r>
            <w:r>
              <w:rPr>
                <w:rFonts w:hint="default" w:ascii="Times New Roman" w:hAnsi="Times New Roman"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2022.12.16</w:t>
            </w: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标干流量</w:t>
            </w:r>
          </w:p>
        </w:tc>
        <w:tc>
          <w:tcPr>
            <w:tcW w:w="727"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6654</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6537</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6458</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6654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z w:val="21"/>
                <w:szCs w:val="21"/>
                <w:lang w:eastAsia="zh-CN"/>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6.0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5.8</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6.0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6.0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DB13/2167-2020表1</w:t>
            </w:r>
            <w:r>
              <w:rPr>
                <w:rFonts w:hint="eastAsia" w:ascii="Times New Roman" w:hAnsi="Times New Roman" w:eastAsia="宋体" w:cs="Times New Roman"/>
                <w:b w:val="0"/>
                <w:bCs/>
                <w:spacing w:val="0"/>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z w:val="21"/>
                <w:szCs w:val="21"/>
                <w:lang w:eastAsia="zh-CN"/>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3.99</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3.79</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3.87</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3.99</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年运行2400小时；</w:t>
            </w:r>
          </w:p>
        </w:tc>
      </w:tr>
    </w:tbl>
    <w:p>
      <w:pPr>
        <w:pStyle w:val="7"/>
        <w:rPr>
          <w:rFonts w:hint="default" w:ascii="Times New Roman" w:hAnsi="Times New Roman" w:cs="Times New Roman"/>
        </w:rPr>
      </w:pPr>
      <w:bookmarkStart w:id="92" w:name="_Toc503969735"/>
      <w:bookmarkStart w:id="93" w:name="_Toc503681484"/>
      <w:bookmarkStart w:id="94" w:name="_Toc504325372"/>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4"/>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8"/>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8"/>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8"/>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8"/>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8"/>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8"/>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8"/>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8"/>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8"/>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p>
            <w:pPr>
              <w:pStyle w:val="108"/>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2022.12.15</w:t>
            </w: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eastAsia="zh-CN"/>
              </w:rPr>
              <w:t>上</w:t>
            </w:r>
            <w:r>
              <w:rPr>
                <w:rFonts w:hint="default" w:ascii="Times New Roman" w:hAnsi="Times New Roman" w:eastAsia="宋体" w:cs="Times New Roman"/>
                <w:color w:val="auto"/>
                <w:sz w:val="21"/>
                <w:szCs w:val="21"/>
              </w:rPr>
              <w:t>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0.225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0.213</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0.563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0.524</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0.531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0.491</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8"/>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0.515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0.556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pStyle w:val="108"/>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p>
            <w:pPr>
              <w:pStyle w:val="108"/>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2022.12.16</w:t>
            </w: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eastAsia="zh-CN"/>
              </w:rPr>
              <w:t>上</w:t>
            </w:r>
            <w:r>
              <w:rPr>
                <w:rFonts w:hint="default" w:ascii="Times New Roman" w:hAnsi="Times New Roman" w:eastAsia="宋体" w:cs="Times New Roman"/>
                <w:color w:val="auto"/>
                <w:sz w:val="21"/>
                <w:szCs w:val="21"/>
              </w:rPr>
              <w:t>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0.223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8"/>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0.477</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0.525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0.484</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8"/>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0.509</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0.504</w:t>
            </w:r>
          </w:p>
        </w:tc>
      </w:tr>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5"/>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2022.12.15</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2022.12.16</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54.9</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54.1</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57.1</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56.6</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58.1</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58.0</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56.7</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57.3</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497001491"/>
      <w:bookmarkStart w:id="99" w:name="_Toc504325375"/>
      <w:r>
        <w:rPr>
          <w:rFonts w:hint="default" w:ascii="Times New Roman" w:hAnsi="Times New Roman" w:eastAsia="宋体" w:cs="Times New Roman"/>
        </w:rPr>
        <w:t>7.2.1有组织废气检测结果分析</w:t>
      </w:r>
      <w:bookmarkEnd w:id="98"/>
      <w:bookmarkEnd w:id="99"/>
    </w:p>
    <w:p>
      <w:pPr>
        <w:adjustRightInd w:val="0"/>
        <w:snapToGrid w:val="0"/>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bookmarkStart w:id="100" w:name="_Toc6889"/>
      <w:bookmarkStart w:id="101" w:name="_Toc15284"/>
      <w:bookmarkStart w:id="102" w:name="_Toc6604"/>
      <w:r>
        <w:rPr>
          <w:rFonts w:hint="default" w:ascii="Times New Roman" w:hAnsi="Times New Roman" w:eastAsia="宋体" w:cs="Times New Roman"/>
          <w:color w:val="auto"/>
          <w:spacing w:val="-2"/>
          <w:sz w:val="24"/>
          <w:lang w:val="en-US" w:eastAsia="zh-CN"/>
        </w:rPr>
        <w:t>经</w:t>
      </w:r>
      <w:r>
        <w:rPr>
          <w:rFonts w:hint="default" w:ascii="Times New Roman" w:hAnsi="Times New Roman" w:eastAsia="宋体" w:cs="Times New Roman"/>
          <w:color w:val="auto"/>
          <w:spacing w:val="-2"/>
          <w:sz w:val="24"/>
          <w:lang w:val="en-US" w:eastAsia="zh-CN"/>
        </w:rPr>
        <w:t>检测，</w:t>
      </w:r>
      <w:bookmarkEnd w:id="100"/>
      <w:bookmarkEnd w:id="101"/>
      <w:bookmarkEnd w:id="102"/>
      <w:r>
        <w:rPr>
          <w:rFonts w:hint="default" w:ascii="Times New Roman" w:hAnsi="Times New Roman" w:eastAsia="宋体" w:cs="Times New Roman"/>
          <w:color w:val="auto"/>
          <w:spacing w:val="-2"/>
          <w:sz w:val="24"/>
          <w:szCs w:val="24"/>
          <w:lang w:val="en-US" w:eastAsia="zh-CN"/>
        </w:rPr>
        <w:t>项目料仓、配料、搅拌工序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经布袋除尘器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bCs/>
          <w:color w:val="000000" w:themeColor="text1"/>
          <w:sz w:val="24"/>
          <w:szCs w:val="24"/>
          <w14:textFill>
            <w14:solidFill>
              <w14:schemeClr w14:val="tx1"/>
            </w14:solidFill>
          </w14:textFill>
        </w:rPr>
        <w:t>《水泥工业大气污染物超低排放标准》(DB13/2167-2020)表1大气污染物最高允许排放浓度</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中</w:t>
      </w:r>
      <w:r>
        <w:rPr>
          <w:rFonts w:hint="default" w:ascii="Times New Roman" w:hAnsi="Times New Roman" w:eastAsia="宋体" w:cs="Times New Roman"/>
          <w:bCs/>
          <w:color w:val="000000" w:themeColor="text1"/>
          <w:sz w:val="24"/>
          <w:szCs w:val="24"/>
          <w14:textFill>
            <w14:solidFill>
              <w14:schemeClr w14:val="tx1"/>
            </w14:solidFill>
          </w14:textFill>
        </w:rPr>
        <w:t>水泥仓及其他通风生产设备大气污染物排放限值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无组织</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监控点与参照点总悬浮颗粒物（TSP）1 h 浓度值的差值</w:t>
      </w:r>
      <w:r>
        <w:rPr>
          <w:rFonts w:hint="default" w:ascii="Times New Roman" w:hAnsi="Times New Roman" w:eastAsia="宋体" w:cs="Times New Roman"/>
          <w:color w:val="auto"/>
          <w:sz w:val="24"/>
          <w:szCs w:val="24"/>
          <w:lang w:eastAsia="zh-CN"/>
        </w:rPr>
        <w:t>最大值为</w:t>
      </w:r>
      <w:r>
        <w:rPr>
          <w:rFonts w:hint="default" w:ascii="Times New Roman" w:hAnsi="Times New Roman" w:eastAsia="宋体" w:cs="Times New Roman"/>
          <w:color w:val="auto"/>
          <w:sz w:val="24"/>
          <w:szCs w:val="24"/>
          <w:lang w:val="en-US" w:eastAsia="zh-CN"/>
        </w:rPr>
        <w:t>0.343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bCs/>
          <w:color w:val="auto"/>
          <w:sz w:val="24"/>
          <w:szCs w:val="24"/>
        </w:rPr>
        <w:t>《水泥工业大气污染物超低排放标准》(DB13/2167-2020)表2大气污染物无组织排放限值</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颗粒物：</w:t>
      </w:r>
      <w:r>
        <w:rPr>
          <w:rFonts w:hint="default" w:ascii="Times New Roman" w:hAnsi="Times New Roman" w:eastAsia="宋体" w:cs="Times New Roman"/>
          <w:color w:val="auto"/>
          <w:spacing w:val="-2"/>
          <w:sz w:val="24"/>
          <w:szCs w:val="24"/>
          <w:lang w:val="en-US" w:eastAsia="zh-CN"/>
        </w:rPr>
        <w:t>0.5</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kinsoku/>
        <w:wordWrap/>
        <w:overflowPunct/>
        <w:topLinePunct w:val="0"/>
        <w:autoSpaceDE/>
        <w:autoSpaceDN/>
        <w:bidi w:val="0"/>
        <w:snapToGrid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本项目污染物总量控制指标建议为：化学需氧量：0t/a、氨氮：0t/a、二氧化硫：0t/a、氮氧化物：0t/a、颗粒物：0.18t/a。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本项目实际排放污染物总量为：化学需氧量：0t/a、氨氮：0t/a、二氧化硫：0t/a、氮氧化物：0t/a、颗粒物：0.092t/a。满足环评中总量控制要求</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河间市江帅建材有限公司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294178076"/>
      <w:bookmarkStart w:id="111" w:name="_Toc412705194"/>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504325382"/>
      <w:bookmarkStart w:id="114" w:name="_Toc294178077"/>
      <w:bookmarkStart w:id="115" w:name="_Toc412705195"/>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河间市江帅建材有限公司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4220604"/>
      <w:bookmarkStart w:id="118" w:name="_Toc41270519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504325383"/>
      <w:bookmarkStart w:id="120" w:name="_Toc414220602"/>
      <w:bookmarkStart w:id="121" w:name="_Toc412705196"/>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6"/>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8"/>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adjustRightInd w:val="0"/>
        <w:snapToGrid w:val="0"/>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项目料仓、配料、搅拌工序</w:t>
      </w:r>
      <w:r>
        <w:rPr>
          <w:rFonts w:hint="default" w:ascii="Times New Roman" w:hAnsi="Times New Roman" w:eastAsia="宋体" w:cs="Times New Roman"/>
          <w:color w:val="000000"/>
          <w:spacing w:val="-2"/>
          <w:sz w:val="24"/>
          <w:szCs w:val="24"/>
          <w:lang w:val="en-US" w:eastAsia="zh-CN"/>
        </w:rPr>
        <w:t>废气</w:t>
      </w:r>
      <w:r>
        <w:rPr>
          <w:rFonts w:hint="default" w:ascii="Times New Roman" w:hAnsi="Times New Roman" w:eastAsia="宋体" w:cs="Times New Roman"/>
          <w:sz w:val="24"/>
          <w:szCs w:val="24"/>
          <w:lang w:eastAsia="zh-CN"/>
        </w:rPr>
        <w:t>经布袋除尘器</w:t>
      </w:r>
      <w:r>
        <w:rPr>
          <w:rFonts w:hint="default" w:ascii="Times New Roman" w:hAnsi="Times New Roman" w:eastAsia="宋体" w:cs="Times New Roman"/>
          <w:color w:val="000000"/>
          <w:spacing w:val="-2"/>
          <w:sz w:val="24"/>
          <w:szCs w:val="24"/>
          <w:lang w:val="en-US" w:eastAsia="zh-CN"/>
        </w:rPr>
        <w:t>处理后由15m高排气筒排放，</w:t>
      </w:r>
      <w:r>
        <w:rPr>
          <w:rFonts w:hint="default" w:ascii="Times New Roman" w:hAnsi="Times New Roman" w:eastAsia="宋体" w:cs="Times New Roman"/>
          <w:color w:val="000000"/>
          <w:spacing w:val="-2"/>
          <w:sz w:val="24"/>
          <w:szCs w:val="24"/>
          <w:lang w:eastAsia="zh-CN"/>
        </w:rPr>
        <w:t>颗粒物最高排放浓度为</w:t>
      </w:r>
      <w:r>
        <w:rPr>
          <w:rFonts w:hint="default" w:ascii="Times New Roman" w:hAnsi="Times New Roman" w:eastAsia="宋体" w:cs="Times New Roman"/>
          <w:color w:val="000000"/>
          <w:spacing w:val="-2"/>
          <w:sz w:val="24"/>
          <w:szCs w:val="24"/>
          <w:lang w:val="en-US" w:eastAsia="zh-CN"/>
        </w:rPr>
        <w:t>6.0</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pacing w:val="-2"/>
          <w:sz w:val="24"/>
          <w:szCs w:val="24"/>
          <w:lang w:eastAsia="zh-CN"/>
        </w:rPr>
        <w:t>满足</w:t>
      </w:r>
      <w:r>
        <w:rPr>
          <w:rFonts w:hint="default" w:ascii="Times New Roman" w:hAnsi="Times New Roman" w:eastAsia="宋体" w:cs="Times New Roman"/>
          <w:bCs/>
          <w:color w:val="000000"/>
          <w:sz w:val="24"/>
          <w:szCs w:val="24"/>
        </w:rPr>
        <w:t>《水泥工业大气污染物超低排放标准》(DB13/2167-2020)表1大气污染物最高允许排放浓度</w:t>
      </w:r>
      <w:r>
        <w:rPr>
          <w:rFonts w:hint="default" w:ascii="Times New Roman" w:hAnsi="Times New Roman" w:eastAsia="宋体" w:cs="Times New Roman"/>
          <w:bCs/>
          <w:color w:val="000000"/>
          <w:sz w:val="24"/>
          <w:szCs w:val="24"/>
          <w:lang w:eastAsia="zh-CN"/>
        </w:rPr>
        <w:t>中</w:t>
      </w:r>
      <w:r>
        <w:rPr>
          <w:rFonts w:hint="default" w:ascii="Times New Roman" w:hAnsi="Times New Roman" w:eastAsia="宋体" w:cs="Times New Roman"/>
          <w:bCs/>
          <w:color w:val="000000"/>
          <w:sz w:val="24"/>
          <w:szCs w:val="24"/>
        </w:rPr>
        <w:t>水泥仓及其他通风生产设备大气污染物排放限值</w:t>
      </w:r>
      <w:r>
        <w:rPr>
          <w:rFonts w:hint="default" w:ascii="Times New Roman" w:hAnsi="Times New Roman" w:eastAsia="宋体" w:cs="Times New Roman"/>
          <w:color w:val="000000"/>
          <w:spacing w:val="-2"/>
          <w:sz w:val="24"/>
          <w:szCs w:val="24"/>
          <w:lang w:eastAsia="zh-CN"/>
        </w:rPr>
        <w:t>（颗粒物：</w:t>
      </w:r>
      <w:r>
        <w:rPr>
          <w:rFonts w:hint="default" w:ascii="Times New Roman" w:hAnsi="Times New Roman" w:eastAsia="宋体" w:cs="Times New Roman"/>
          <w:color w:val="000000"/>
          <w:spacing w:val="-2"/>
          <w:sz w:val="24"/>
          <w:szCs w:val="24"/>
          <w:lang w:val="en-US" w:eastAsia="zh-CN"/>
        </w:rPr>
        <w:t>10</w:t>
      </w:r>
      <w:r>
        <w:rPr>
          <w:rFonts w:hint="default" w:ascii="Times New Roman" w:hAnsi="Times New Roman" w:eastAsia="宋体" w:cs="Times New Roman"/>
          <w:color w:val="000000"/>
          <w:spacing w:val="-2"/>
          <w:sz w:val="24"/>
          <w:szCs w:val="24"/>
          <w:lang w:eastAsia="zh-CN"/>
        </w:rPr>
        <w:t>mg/m</w:t>
      </w:r>
      <w:r>
        <w:rPr>
          <w:rFonts w:hint="default" w:ascii="Times New Roman" w:hAnsi="Times New Roman" w:eastAsia="宋体" w:cs="Times New Roman"/>
          <w:color w:val="000000"/>
          <w:spacing w:val="-2"/>
          <w:sz w:val="24"/>
          <w:szCs w:val="24"/>
          <w:vertAlign w:val="superscript"/>
          <w:lang w:eastAsia="zh-CN"/>
        </w:rPr>
        <w:t>3</w:t>
      </w:r>
      <w:r>
        <w:rPr>
          <w:rFonts w:hint="default" w:ascii="Times New Roman" w:hAnsi="Times New Roman" w:eastAsia="宋体" w:cs="Times New Roman"/>
          <w:color w:val="000000"/>
          <w:spacing w:val="-2"/>
          <w:sz w:val="24"/>
          <w:szCs w:val="24"/>
          <w:lang w:eastAsia="zh-CN"/>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项目无组织颗粒物监控点与参照点总悬浮颗粒物（TSP）1 h 浓度值的差值最大值为0.343mg/m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，满足《水泥工业大气污染物超低排放标准》(DB13/2167-2020)表2大气污染物无组织排放限值（颗粒物：0.5mg/m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p>
    <w:p>
      <w:pPr>
        <w:pStyle w:val="108"/>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108"/>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9"/>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项目搅拌用水进入产品，不外排；生活废水主要为职工生活污水，排水水量少，水质简单，厂内设防渗旱厕，定期清掏，用作农肥</w:t>
      </w:r>
      <w:r>
        <w:rPr>
          <w:rFonts w:hint="default" w:ascii="Times New Roman" w:hAnsi="Times New Roman" w:eastAsia="宋体" w:cs="Times New Roman"/>
          <w:sz w:val="24"/>
          <w:szCs w:val="24"/>
        </w:rPr>
        <w:t>。</w:t>
      </w:r>
    </w:p>
    <w:p>
      <w:pPr>
        <w:pStyle w:val="108"/>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lang w:val="en-US" w:eastAsia="zh-CN"/>
        </w:rPr>
        <w:t>项目固体废物主要为除尘灰、废包装桶及职工生活垃圾。其中，除尘灰主要包括料仓除尘器和布袋除尘器收集粉尘，除尘灰收集后，返回生产工序再利用；废包装桶主要为外加剂包装桶，集中收集后厂家回收利用；生活垃圾统一收集后交由环卫部门进行处理</w:t>
      </w:r>
      <w:r>
        <w:rPr>
          <w:rFonts w:hint="eastAsia" w:ascii="宋体" w:hAnsi="宋体" w:eastAsia="宋体" w:cs="宋体"/>
          <w:color w:val="auto"/>
        </w:rPr>
        <w:t>。</w:t>
      </w:r>
    </w:p>
    <w:p>
      <w:pPr>
        <w:pStyle w:val="108"/>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本项目污染物总量控制指标建议为：化学需氧量：0t/a、氨氮：0t/a、二氧化硫：0t/a、氮氧化物：0t/a、颗粒物：0.18t/a。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本项目实际排放污染物总量为：化学需氧量：0t/a、氨氮：0t/a、二氧化硫：0t/a、氮氧化物：0t/a、颗粒物：0.092t/a。满足环评中总量控制要求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6"/>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9"/>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2336" behindDoc="0" locked="0" layoutInCell="1" allowOverlap="1">
            <wp:simplePos x="0" y="0"/>
            <wp:positionH relativeFrom="column">
              <wp:posOffset>-1336040</wp:posOffset>
            </wp:positionH>
            <wp:positionV relativeFrom="paragraph">
              <wp:posOffset>1601470</wp:posOffset>
            </wp:positionV>
            <wp:extent cx="8639810" cy="6120130"/>
            <wp:effectExtent l="0" t="0" r="13970" b="8890"/>
            <wp:wrapNone/>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3360" behindDoc="0" locked="0" layoutInCell="1" allowOverlap="1">
            <wp:simplePos x="0" y="0"/>
            <wp:positionH relativeFrom="column">
              <wp:posOffset>-1087755</wp:posOffset>
            </wp:positionH>
            <wp:positionV relativeFrom="paragraph">
              <wp:posOffset>1282065</wp:posOffset>
            </wp:positionV>
            <wp:extent cx="8639810" cy="6120130"/>
            <wp:effectExtent l="0" t="0" r="13970" b="889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5080</wp:posOffset>
            </wp:positionH>
            <wp:positionV relativeFrom="paragraph">
              <wp:posOffset>13970</wp:posOffset>
            </wp:positionV>
            <wp:extent cx="5997575" cy="3618230"/>
            <wp:effectExtent l="0" t="0" r="3175" b="127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997575" cy="3618230"/>
                    </a:xfrm>
                    <a:prstGeom prst="rect">
                      <a:avLst/>
                    </a:prstGeom>
                    <a:noFill/>
                    <a:ln>
                      <a:noFill/>
                    </a:ln>
                  </pic:spPr>
                </pic:pic>
              </a:graphicData>
            </a:graphic>
          </wp:anchor>
        </w:drawing>
      </w: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9"/>
        <w:jc w:val="center"/>
        <w:rPr>
          <w:rFonts w:hint="default" w:ascii="Times New Roman" w:hAnsi="Times New Roman" w:eastAsia="宋体" w:cs="Times New Roman"/>
          <w:b/>
          <w:sz w:val="30"/>
          <w:szCs w:val="30"/>
          <w:lang w:eastAsia="zh-CN"/>
        </w:rPr>
      </w:pPr>
      <w:r>
        <w:rPr>
          <w:rFonts w:hint="eastAsia" w:ascii="黑体" w:eastAsia="黑体"/>
          <w:b w:val="0"/>
          <w:bCs/>
          <w:sz w:val="32"/>
          <w:szCs w:val="32"/>
          <w:lang w:eastAsia="zh-CN"/>
        </w:rPr>
        <w:drawing>
          <wp:anchor distT="0" distB="0" distL="114300" distR="114300" simplePos="0" relativeHeight="251665408" behindDoc="0" locked="0" layoutInCell="1" allowOverlap="1">
            <wp:simplePos x="0" y="0"/>
            <wp:positionH relativeFrom="column">
              <wp:posOffset>119380</wp:posOffset>
            </wp:positionH>
            <wp:positionV relativeFrom="paragraph">
              <wp:posOffset>393065</wp:posOffset>
            </wp:positionV>
            <wp:extent cx="6027420" cy="8524875"/>
            <wp:effectExtent l="0" t="0" r="11430" b="9525"/>
            <wp:wrapNone/>
            <wp:docPr id="5" name="图片 5" descr="9668203ea48071dda67f4eb234da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68203ea48071dda67f4eb234da745"/>
                    <pic:cNvPicPr>
                      <a:picLocks noChangeAspect="1"/>
                    </pic:cNvPicPr>
                  </pic:nvPicPr>
                  <pic:blipFill>
                    <a:blip r:embed="rId17"/>
                    <a:stretch>
                      <a:fillRect/>
                    </a:stretch>
                  </pic:blipFill>
                  <pic:spPr>
                    <a:xfrm>
                      <a:off x="0" y="0"/>
                      <a:ext cx="6027420" cy="8524875"/>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9"/>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6432" behindDoc="0" locked="0" layoutInCell="1" allowOverlap="1">
            <wp:simplePos x="0" y="0"/>
            <wp:positionH relativeFrom="column">
              <wp:posOffset>-1267460</wp:posOffset>
            </wp:positionH>
            <wp:positionV relativeFrom="paragraph">
              <wp:posOffset>1290320</wp:posOffset>
            </wp:positionV>
            <wp:extent cx="8639810" cy="6120130"/>
            <wp:effectExtent l="0" t="0" r="13970" b="8890"/>
            <wp:wrapNone/>
            <wp:docPr id="6" name="图片 6" descr="附件4 营业执照"/>
            <wp:cNvGraphicFramePr/>
            <a:graphic xmlns:a="http://schemas.openxmlformats.org/drawingml/2006/main">
              <a:graphicData uri="http://schemas.openxmlformats.org/drawingml/2006/picture">
                <pic:pic xmlns:pic="http://schemas.openxmlformats.org/drawingml/2006/picture">
                  <pic:nvPicPr>
                    <pic:cNvPr id="6" name="图片 6" descr="附件4 营业执照"/>
                    <pic:cNvPicPr/>
                  </pic:nvPicPr>
                  <pic:blipFill>
                    <a:blip r:embed="rId18"/>
                    <a:stretch>
                      <a:fillRect/>
                    </a:stretch>
                  </pic:blipFill>
                  <pic:spPr>
                    <a:xfrm rot="16200000">
                      <a:off x="0" y="0"/>
                      <a:ext cx="8639810" cy="6120130"/>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pStyle w:val="9"/>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河间市江帅建材有限公司 </w:t>
      </w:r>
      <w:r>
        <w:rPr>
          <w:rFonts w:hint="default" w:ascii="Times New Roman" w:hAnsi="Times New Roman" w:cs="Times New Roman"/>
        </w:rPr>
        <w:t xml:space="preserve"> 填表人（签字）：            项目经办人（签字）：</w:t>
      </w:r>
    </w:p>
    <w:tbl>
      <w:tblPr>
        <w:tblStyle w:val="35"/>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商品混凝土新建项目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河间市卧佛堂镇张侯村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C2921塑料薄膜制造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1492885</wp:posOffset>
                      </wp:positionH>
                      <wp:positionV relativeFrom="paragraph">
                        <wp:posOffset>53340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7.55pt;margin-top:4.2pt;height:5.6pt;width:5.25pt;z-index:251661312;v-text-anchor:middle;mso-width-relative:page;mso-height-relative:page;" fillcolor="#000000 [3213]" filled="t" stroked="t" coordsize="21600,21600" o:gfxdata="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ohjd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2260600</wp:posOffset>
                      </wp:positionH>
                      <wp:positionV relativeFrom="paragraph">
                        <wp:posOffset>84455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pt;margin-top:6.65pt;height:5.6pt;width:5.25pt;z-index:251660288;v-text-anchor:middle;mso-width-relative:page;mso-height-relative:page;" fillcolor="#FFFFFF [3212]" filled="t" stroked="t" coordsize="21600,21600" o:gfxdata="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Ju+b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年产商品混凝土2万立方米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年产商品混凝土2万立方米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河北佳萌环保科技有限公司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河环表[2021]（06-37）号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河间市江帅建材有限公司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91130984MA0G542K6C</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3"/>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3"/>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3"/>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1555</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1555</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3"/>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1134" w:type="dxa"/>
            <w:gridSpan w:val="2"/>
            <w:vAlign w:val="center"/>
          </w:tcPr>
          <w:p>
            <w:pPr>
              <w:pStyle w:val="123"/>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0.092</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0.092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3"/>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10609000101010101"/>
    <w:charset w:val="88"/>
    <w:family w:val="modern"/>
    <w:pitch w:val="default"/>
    <w:sig w:usb0="00000000" w:usb1="00000000" w:usb2="00000010" w:usb3="00000000" w:csb0="0010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default"/>
        <w:lang w:val="en-US"/>
      </w:rPr>
    </w:pPr>
    <w:r>
      <w:rPr>
        <w:rFonts w:hint="eastAsia" w:ascii="Times New Roman" w:hAnsi="Times New Roman" w:eastAsia="宋体" w:cs="Times New Roman"/>
        <w:color w:val="000000"/>
        <w:szCs w:val="21"/>
        <w:lang w:val="en-US" w:eastAsia="zh-CN"/>
      </w:rPr>
      <w:t>河间市江帅建材有限公司商品混凝土新建项目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lN2RiZTU1YTUxMzkwNDM4YWQxYTNjYmIxYmJjOTE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CF4ADA"/>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66E1B"/>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4F13E7"/>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52816"/>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025E6"/>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238E6"/>
    <w:rsid w:val="19571B1A"/>
    <w:rsid w:val="1958764A"/>
    <w:rsid w:val="196204A5"/>
    <w:rsid w:val="196952AB"/>
    <w:rsid w:val="196C5FAC"/>
    <w:rsid w:val="196D097D"/>
    <w:rsid w:val="196E4C5D"/>
    <w:rsid w:val="19715C96"/>
    <w:rsid w:val="19885BE7"/>
    <w:rsid w:val="19905C83"/>
    <w:rsid w:val="19924AEA"/>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21F52"/>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1950F6"/>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72572E"/>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5F46A5A"/>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7B5034"/>
    <w:rsid w:val="478364EA"/>
    <w:rsid w:val="47847318"/>
    <w:rsid w:val="47961ECC"/>
    <w:rsid w:val="47975B88"/>
    <w:rsid w:val="479834D1"/>
    <w:rsid w:val="479B2F6C"/>
    <w:rsid w:val="47A404DB"/>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131F5"/>
    <w:rsid w:val="49873BD4"/>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3BB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B23556"/>
    <w:rsid w:val="4BC7543B"/>
    <w:rsid w:val="4BCB7C8C"/>
    <w:rsid w:val="4BCC47C4"/>
    <w:rsid w:val="4BD67479"/>
    <w:rsid w:val="4BD76DDC"/>
    <w:rsid w:val="4BE971D1"/>
    <w:rsid w:val="4BF26074"/>
    <w:rsid w:val="4BF8484E"/>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04C49"/>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5383E"/>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A0020CB"/>
    <w:rsid w:val="5A0275F4"/>
    <w:rsid w:val="5A0E3AAC"/>
    <w:rsid w:val="5A133C22"/>
    <w:rsid w:val="5A1C27BD"/>
    <w:rsid w:val="5A257C68"/>
    <w:rsid w:val="5A2B2AC9"/>
    <w:rsid w:val="5A381BFD"/>
    <w:rsid w:val="5A436F64"/>
    <w:rsid w:val="5A4E19C8"/>
    <w:rsid w:val="5A4F5EDF"/>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E66F88"/>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BC25D6"/>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92217"/>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A1A2C"/>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5967A0"/>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B552CE"/>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1774D"/>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AF719E"/>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C52B4B"/>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C55F0"/>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43"/>
    <w:qFormat/>
    <w:uiPriority w:val="0"/>
    <w:pPr>
      <w:spacing w:line="480" w:lineRule="atLeast"/>
      <w:outlineLvl w:val="0"/>
    </w:pPr>
    <w:rPr>
      <w:rFonts w:ascii="宋体" w:hAnsi="宋体" w:eastAsia="宋体"/>
      <w:b/>
      <w:sz w:val="30"/>
      <w:szCs w:val="30"/>
    </w:rPr>
  </w:style>
  <w:style w:type="paragraph" w:styleId="6">
    <w:name w:val="heading 2"/>
    <w:basedOn w:val="5"/>
    <w:next w:val="1"/>
    <w:link w:val="44"/>
    <w:qFormat/>
    <w:uiPriority w:val="0"/>
    <w:pPr>
      <w:outlineLvl w:val="1"/>
    </w:pPr>
    <w:rPr>
      <w:sz w:val="28"/>
    </w:rPr>
  </w:style>
  <w:style w:type="paragraph" w:styleId="7">
    <w:name w:val="heading 3"/>
    <w:basedOn w:val="1"/>
    <w:next w:val="1"/>
    <w:link w:val="45"/>
    <w:qFormat/>
    <w:uiPriority w:val="0"/>
    <w:pPr>
      <w:spacing w:line="480" w:lineRule="atLeast"/>
      <w:outlineLvl w:val="2"/>
    </w:pPr>
    <w:rPr>
      <w:rFonts w:ascii="宋体" w:hAnsi="宋体" w:eastAsia="宋体"/>
      <w:sz w:val="24"/>
      <w:szCs w:val="24"/>
    </w:rPr>
  </w:style>
  <w:style w:type="paragraph" w:styleId="8">
    <w:name w:val="heading 4"/>
    <w:basedOn w:val="1"/>
    <w:next w:val="9"/>
    <w:link w:val="46"/>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next w:val="4"/>
    <w:link w:val="82"/>
    <w:qFormat/>
    <w:uiPriority w:val="0"/>
    <w:pPr>
      <w:spacing w:line="300" w:lineRule="exact"/>
      <w:ind w:firstLine="538"/>
    </w:pPr>
    <w:rPr>
      <w:rFonts w:ascii="宋体" w:hAnsi="Times New Roman" w:eastAsia="宋体" w:cs="Times New Roman"/>
      <w:sz w:val="24"/>
      <w:szCs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9">
    <w:name w:val="Normal Indent"/>
    <w:basedOn w:val="1"/>
    <w:next w:val="8"/>
    <w:link w:val="72"/>
    <w:qFormat/>
    <w:uiPriority w:val="0"/>
    <w:pPr>
      <w:ind w:firstLine="420" w:firstLineChars="200"/>
    </w:pPr>
    <w:rPr>
      <w:rFonts w:eastAsia="宋体"/>
      <w:szCs w:val="24"/>
    </w:rPr>
  </w:style>
  <w:style w:type="paragraph" w:styleId="10">
    <w:name w:val="caption"/>
    <w:basedOn w:val="1"/>
    <w:next w:val="1"/>
    <w:link w:val="73"/>
    <w:qFormat/>
    <w:uiPriority w:val="0"/>
    <w:pPr>
      <w:jc w:val="center"/>
    </w:pPr>
    <w:rPr>
      <w:rFonts w:ascii="宋体" w:hAnsi="Arial" w:eastAsia="宋体" w:cs="Arial"/>
    </w:rPr>
  </w:style>
  <w:style w:type="paragraph" w:styleId="11">
    <w:name w:val="Document Map"/>
    <w:basedOn w:val="1"/>
    <w:link w:val="78"/>
    <w:semiHidden/>
    <w:qFormat/>
    <w:uiPriority w:val="0"/>
    <w:pPr>
      <w:shd w:val="clear" w:color="auto" w:fill="000080"/>
    </w:pPr>
    <w:rPr>
      <w:rFonts w:ascii="Times New Roman" w:hAnsi="Times New Roman" w:eastAsia="宋体" w:cs="Times New Roman"/>
      <w:szCs w:val="24"/>
    </w:rPr>
  </w:style>
  <w:style w:type="paragraph" w:styleId="12">
    <w:name w:val="annotation text"/>
    <w:basedOn w:val="1"/>
    <w:link w:val="55"/>
    <w:qFormat/>
    <w:uiPriority w:val="0"/>
    <w:pPr>
      <w:jc w:val="left"/>
    </w:pPr>
    <w:rPr>
      <w:szCs w:val="24"/>
    </w:rPr>
  </w:style>
  <w:style w:type="paragraph" w:styleId="13">
    <w:name w:val="Body Text 3"/>
    <w:basedOn w:val="1"/>
    <w:link w:val="77"/>
    <w:qFormat/>
    <w:uiPriority w:val="0"/>
    <w:pPr>
      <w:spacing w:after="120"/>
    </w:pPr>
    <w:rPr>
      <w:rFonts w:ascii="Times New Roman" w:hAnsi="Times New Roman" w:eastAsia="宋体" w:cs="Times New Roman"/>
      <w:sz w:val="16"/>
      <w:szCs w:val="16"/>
    </w:rPr>
  </w:style>
  <w:style w:type="paragraph" w:styleId="14">
    <w:name w:val="Body Text"/>
    <w:basedOn w:val="1"/>
    <w:next w:val="15"/>
    <w:link w:val="81"/>
    <w:qFormat/>
    <w:uiPriority w:val="0"/>
    <w:rPr>
      <w:rFonts w:ascii="Times New Roman" w:hAnsi="Times New Roman" w:eastAsia="宋体" w:cs="Times New Roman"/>
      <w:sz w:val="32"/>
      <w:szCs w:val="20"/>
    </w:rPr>
  </w:style>
  <w:style w:type="paragraph" w:styleId="15">
    <w:name w:val="List Bullet 5"/>
    <w:basedOn w:val="1"/>
    <w:semiHidden/>
    <w:unhideWhenUsed/>
    <w:qFormat/>
    <w:uiPriority w:val="99"/>
    <w:pPr>
      <w:numPr>
        <w:ilvl w:val="0"/>
        <w:numId w:val="1"/>
      </w:numPr>
    </w:pPr>
  </w:style>
  <w:style w:type="paragraph" w:styleId="16">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7">
    <w:name w:val="toc 3"/>
    <w:basedOn w:val="1"/>
    <w:next w:val="1"/>
    <w:unhideWhenUsed/>
    <w:qFormat/>
    <w:uiPriority w:val="39"/>
    <w:pPr>
      <w:widowControl/>
      <w:spacing w:after="100" w:line="259" w:lineRule="auto"/>
      <w:ind w:left="440"/>
      <w:jc w:val="left"/>
    </w:pPr>
    <w:rPr>
      <w:rFonts w:cs="Times New Roman"/>
      <w:kern w:val="0"/>
      <w:sz w:val="22"/>
    </w:rPr>
  </w:style>
  <w:style w:type="paragraph" w:styleId="18">
    <w:name w:val="Plain Text"/>
    <w:basedOn w:val="1"/>
    <w:link w:val="75"/>
    <w:qFormat/>
    <w:uiPriority w:val="0"/>
    <w:rPr>
      <w:rFonts w:ascii="宋体" w:hAnsi="Courier New" w:eastAsia="宋体"/>
    </w:rPr>
  </w:style>
  <w:style w:type="paragraph" w:styleId="19">
    <w:name w:val="Date"/>
    <w:basedOn w:val="1"/>
    <w:next w:val="1"/>
    <w:link w:val="48"/>
    <w:unhideWhenUsed/>
    <w:qFormat/>
    <w:uiPriority w:val="0"/>
    <w:pPr>
      <w:ind w:left="100" w:leftChars="2500"/>
    </w:pPr>
  </w:style>
  <w:style w:type="paragraph" w:styleId="20">
    <w:name w:val="Body Text Indent 2"/>
    <w:basedOn w:val="1"/>
    <w:link w:val="85"/>
    <w:qFormat/>
    <w:uiPriority w:val="0"/>
    <w:pPr>
      <w:ind w:left="-140" w:firstLine="560"/>
      <w:jc w:val="left"/>
      <w:outlineLvl w:val="0"/>
    </w:pPr>
    <w:rPr>
      <w:rFonts w:ascii="Times New Roman" w:hAnsi="Times New Roman" w:eastAsia="宋体" w:cs="Times New Roman"/>
      <w:sz w:val="28"/>
      <w:szCs w:val="20"/>
    </w:rPr>
  </w:style>
  <w:style w:type="paragraph" w:styleId="21">
    <w:name w:val="Balloon Text"/>
    <w:basedOn w:val="1"/>
    <w:link w:val="47"/>
    <w:unhideWhenUsed/>
    <w:qFormat/>
    <w:uiPriority w:val="0"/>
    <w:rPr>
      <w:sz w:val="18"/>
      <w:szCs w:val="18"/>
    </w:rPr>
  </w:style>
  <w:style w:type="paragraph" w:styleId="22">
    <w:name w:val="footer"/>
    <w:basedOn w:val="1"/>
    <w:link w:val="50"/>
    <w:unhideWhenUsed/>
    <w:qFormat/>
    <w:uiPriority w:val="99"/>
    <w:pPr>
      <w:tabs>
        <w:tab w:val="center" w:pos="4153"/>
        <w:tab w:val="right" w:pos="8306"/>
      </w:tabs>
      <w:snapToGrid w:val="0"/>
      <w:jc w:val="left"/>
    </w:pPr>
    <w:rPr>
      <w:sz w:val="18"/>
      <w:szCs w:val="18"/>
    </w:rPr>
  </w:style>
  <w:style w:type="paragraph" w:styleId="23">
    <w:name w:val="header"/>
    <w:basedOn w:val="1"/>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5">
    <w:name w:val="Subtitle"/>
    <w:basedOn w:val="1"/>
    <w:next w:val="1"/>
    <w:qFormat/>
    <w:uiPriority w:val="99"/>
    <w:pPr>
      <w:widowControl/>
      <w:adjustRightInd w:val="0"/>
      <w:snapToGrid w:val="0"/>
      <w:jc w:val="center"/>
    </w:pPr>
    <w:rPr>
      <w:rFonts w:ascii="宋体" w:hAnsi="宋体"/>
      <w:color w:val="000000"/>
      <w:kern w:val="0"/>
      <w:szCs w:val="21"/>
    </w:rPr>
  </w:style>
  <w:style w:type="paragraph" w:styleId="26">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7">
    <w:name w:val="Body Text Indent 3"/>
    <w:basedOn w:val="1"/>
    <w:link w:val="84"/>
    <w:qFormat/>
    <w:uiPriority w:val="0"/>
    <w:pPr>
      <w:ind w:firstLine="540"/>
    </w:pPr>
    <w:rPr>
      <w:rFonts w:hint="eastAsia" w:ascii="宋体" w:hAnsi="Times New Roman" w:eastAsia="宋体" w:cs="Times New Roman"/>
      <w:sz w:val="28"/>
      <w:szCs w:val="20"/>
    </w:rPr>
  </w:style>
  <w:style w:type="paragraph" w:styleId="28">
    <w:name w:val="toc 2"/>
    <w:basedOn w:val="1"/>
    <w:next w:val="1"/>
    <w:unhideWhenUsed/>
    <w:qFormat/>
    <w:uiPriority w:val="39"/>
    <w:pPr>
      <w:ind w:left="420" w:leftChars="200"/>
    </w:pPr>
  </w:style>
  <w:style w:type="paragraph" w:styleId="29">
    <w:name w:val="Body Text 2"/>
    <w:basedOn w:val="1"/>
    <w:link w:val="86"/>
    <w:qFormat/>
    <w:uiPriority w:val="0"/>
    <w:rPr>
      <w:rFonts w:ascii="Times New Roman" w:hAnsi="Times New Roman" w:eastAsia="宋体" w:cs="Times New Roman"/>
      <w:szCs w:val="20"/>
    </w:rPr>
  </w:style>
  <w:style w:type="paragraph" w:styleId="30">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1">
    <w:name w:val="index 1"/>
    <w:basedOn w:val="1"/>
    <w:next w:val="1"/>
    <w:qFormat/>
    <w:uiPriority w:val="0"/>
    <w:pPr>
      <w:spacing w:line="192" w:lineRule="auto"/>
      <w:jc w:val="center"/>
    </w:pPr>
    <w:rPr>
      <w:rFonts w:ascii="宋体" w:hAnsi="宋体" w:eastAsia="宋体" w:cs="Times New Roman"/>
      <w:szCs w:val="20"/>
    </w:rPr>
  </w:style>
  <w:style w:type="paragraph" w:styleId="32">
    <w:name w:val="annotation subject"/>
    <w:basedOn w:val="12"/>
    <w:next w:val="12"/>
    <w:link w:val="76"/>
    <w:qFormat/>
    <w:uiPriority w:val="0"/>
    <w:rPr>
      <w:b/>
      <w:bCs/>
    </w:rPr>
  </w:style>
  <w:style w:type="paragraph" w:styleId="33">
    <w:name w:val="Body Text First Indent"/>
    <w:basedOn w:val="14"/>
    <w:qFormat/>
    <w:uiPriority w:val="0"/>
    <w:pPr>
      <w:spacing w:after="120" w:line="240" w:lineRule="auto"/>
      <w:ind w:firstLine="420" w:firstLineChars="100"/>
    </w:pPr>
    <w:rPr>
      <w:sz w:val="28"/>
      <w:szCs w:val="24"/>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bCs/>
    </w:rPr>
  </w:style>
  <w:style w:type="character" w:styleId="38">
    <w:name w:val="page number"/>
    <w:basedOn w:val="36"/>
    <w:qFormat/>
    <w:uiPriority w:val="0"/>
  </w:style>
  <w:style w:type="character" w:styleId="39">
    <w:name w:val="Emphasis"/>
    <w:basedOn w:val="36"/>
    <w:qFormat/>
    <w:uiPriority w:val="0"/>
    <w:rPr>
      <w:i/>
      <w:iCs/>
    </w:rPr>
  </w:style>
  <w:style w:type="character" w:styleId="40">
    <w:name w:val="Hyperlink"/>
    <w:basedOn w:val="36"/>
    <w:qFormat/>
    <w:uiPriority w:val="99"/>
    <w:rPr>
      <w:color w:val="000000"/>
      <w:u w:val="single"/>
    </w:rPr>
  </w:style>
  <w:style w:type="character" w:styleId="41">
    <w:name w:val="annotation reference"/>
    <w:basedOn w:val="36"/>
    <w:qFormat/>
    <w:uiPriority w:val="0"/>
    <w:rPr>
      <w:sz w:val="21"/>
      <w:szCs w:val="21"/>
    </w:rPr>
  </w:style>
  <w:style w:type="paragraph" w:customStyle="1" w:styleId="42">
    <w:name w:val="样式 正文文本 + 首行缩进:  2 字符"/>
    <w:basedOn w:val="14"/>
    <w:next w:val="1"/>
    <w:qFormat/>
    <w:uiPriority w:val="0"/>
    <w:pPr>
      <w:spacing w:line="480" w:lineRule="exact"/>
      <w:ind w:firstLine="480" w:firstLineChars="200"/>
    </w:pPr>
    <w:rPr>
      <w:rFonts w:ascii="宋体" w:hAnsi="宋体" w:eastAsia="宋体" w:cs="宋体"/>
      <w:sz w:val="24"/>
      <w:szCs w:val="20"/>
    </w:rPr>
  </w:style>
  <w:style w:type="character" w:customStyle="1" w:styleId="43">
    <w:name w:val="标题 1 Char"/>
    <w:basedOn w:val="36"/>
    <w:link w:val="5"/>
    <w:qFormat/>
    <w:uiPriority w:val="0"/>
    <w:rPr>
      <w:rFonts w:ascii="宋体" w:hAnsi="宋体" w:eastAsia="宋体"/>
      <w:b/>
      <w:sz w:val="30"/>
      <w:szCs w:val="30"/>
    </w:rPr>
  </w:style>
  <w:style w:type="character" w:customStyle="1" w:styleId="44">
    <w:name w:val="标题 2 Char"/>
    <w:basedOn w:val="36"/>
    <w:link w:val="6"/>
    <w:qFormat/>
    <w:uiPriority w:val="0"/>
    <w:rPr>
      <w:rFonts w:ascii="宋体" w:hAnsi="宋体" w:eastAsia="宋体"/>
      <w:b/>
      <w:sz w:val="28"/>
      <w:szCs w:val="30"/>
    </w:rPr>
  </w:style>
  <w:style w:type="character" w:customStyle="1" w:styleId="45">
    <w:name w:val="标题 3 Char"/>
    <w:basedOn w:val="36"/>
    <w:link w:val="7"/>
    <w:qFormat/>
    <w:uiPriority w:val="0"/>
    <w:rPr>
      <w:rFonts w:ascii="宋体" w:hAnsi="宋体" w:eastAsia="宋体"/>
      <w:sz w:val="24"/>
      <w:szCs w:val="24"/>
    </w:rPr>
  </w:style>
  <w:style w:type="character" w:customStyle="1" w:styleId="46">
    <w:name w:val="标题 4 Char"/>
    <w:basedOn w:val="36"/>
    <w:link w:val="8"/>
    <w:qFormat/>
    <w:uiPriority w:val="0"/>
    <w:rPr>
      <w:rFonts w:ascii="Arial" w:hAnsi="Arial" w:eastAsia="黑体" w:cs="Times New Roman"/>
      <w:b/>
      <w:bCs/>
      <w:sz w:val="28"/>
      <w:szCs w:val="28"/>
    </w:rPr>
  </w:style>
  <w:style w:type="character" w:customStyle="1" w:styleId="47">
    <w:name w:val="批注框文本 Char"/>
    <w:basedOn w:val="36"/>
    <w:link w:val="21"/>
    <w:qFormat/>
    <w:uiPriority w:val="0"/>
    <w:rPr>
      <w:sz w:val="18"/>
      <w:szCs w:val="18"/>
    </w:rPr>
  </w:style>
  <w:style w:type="character" w:customStyle="1" w:styleId="48">
    <w:name w:val="日期 Char"/>
    <w:basedOn w:val="36"/>
    <w:link w:val="19"/>
    <w:qFormat/>
    <w:uiPriority w:val="0"/>
  </w:style>
  <w:style w:type="character" w:customStyle="1" w:styleId="49">
    <w:name w:val="页眉 Char"/>
    <w:basedOn w:val="36"/>
    <w:link w:val="23"/>
    <w:qFormat/>
    <w:uiPriority w:val="0"/>
    <w:rPr>
      <w:sz w:val="18"/>
      <w:szCs w:val="18"/>
    </w:rPr>
  </w:style>
  <w:style w:type="character" w:customStyle="1" w:styleId="50">
    <w:name w:val="页脚 Char"/>
    <w:basedOn w:val="36"/>
    <w:link w:val="22"/>
    <w:qFormat/>
    <w:uiPriority w:val="99"/>
    <w:rPr>
      <w:sz w:val="18"/>
      <w:szCs w:val="18"/>
    </w:rPr>
  </w:style>
  <w:style w:type="character" w:customStyle="1" w:styleId="51">
    <w:name w:val="apple-converted-space"/>
    <w:basedOn w:val="36"/>
    <w:qFormat/>
    <w:uiPriority w:val="0"/>
  </w:style>
  <w:style w:type="character" w:customStyle="1" w:styleId="52">
    <w:name w:val="表内容@ Char"/>
    <w:basedOn w:val="36"/>
    <w:link w:val="53"/>
    <w:qFormat/>
    <w:uiPriority w:val="0"/>
    <w:rPr>
      <w:rFonts w:ascii="宋体" w:hAnsi="宋体" w:eastAsia="宋体" w:cs="Arial"/>
      <w:szCs w:val="21"/>
    </w:rPr>
  </w:style>
  <w:style w:type="paragraph" w:customStyle="1" w:styleId="53">
    <w:name w:val="表内容@"/>
    <w:basedOn w:val="1"/>
    <w:link w:val="52"/>
    <w:qFormat/>
    <w:uiPriority w:val="0"/>
    <w:pPr>
      <w:adjustRightInd w:val="0"/>
      <w:jc w:val="center"/>
    </w:pPr>
    <w:rPr>
      <w:rFonts w:ascii="宋体" w:hAnsi="宋体" w:eastAsia="宋体" w:cs="Arial"/>
      <w:szCs w:val="21"/>
    </w:rPr>
  </w:style>
  <w:style w:type="character" w:customStyle="1" w:styleId="54">
    <w:name w:val="t1"/>
    <w:qFormat/>
    <w:uiPriority w:val="0"/>
    <w:rPr>
      <w:sz w:val="28"/>
      <w:szCs w:val="28"/>
    </w:rPr>
  </w:style>
  <w:style w:type="character" w:customStyle="1" w:styleId="55">
    <w:name w:val="批注文字 Char"/>
    <w:basedOn w:val="36"/>
    <w:link w:val="12"/>
    <w:qFormat/>
    <w:uiPriority w:val="0"/>
    <w:rPr>
      <w:szCs w:val="24"/>
    </w:rPr>
  </w:style>
  <w:style w:type="character" w:customStyle="1" w:styleId="56">
    <w:name w:val="样式 正文@ + 首行缩进:  2 字符2 Char"/>
    <w:basedOn w:val="36"/>
    <w:link w:val="57"/>
    <w:qFormat/>
    <w:uiPriority w:val="0"/>
    <w:rPr>
      <w:rFonts w:ascii="宋体" w:hAnsi="宋体" w:eastAsia="宋体" w:cs="宋体"/>
      <w:sz w:val="24"/>
    </w:rPr>
  </w:style>
  <w:style w:type="paragraph" w:customStyle="1" w:styleId="57">
    <w:name w:val="样式 正文@ + 首行缩进:  2 字符2"/>
    <w:basedOn w:val="1"/>
    <w:link w:val="56"/>
    <w:qFormat/>
    <w:uiPriority w:val="0"/>
    <w:pPr>
      <w:spacing w:line="360" w:lineRule="auto"/>
      <w:ind w:firstLine="480" w:firstLineChars="200"/>
    </w:pPr>
    <w:rPr>
      <w:rFonts w:ascii="宋体" w:hAnsi="宋体" w:eastAsia="宋体" w:cs="宋体"/>
      <w:sz w:val="24"/>
    </w:rPr>
  </w:style>
  <w:style w:type="character" w:customStyle="1" w:styleId="58">
    <w:name w:val="样式 样式 正文@ + 首行缩进:  2 字符 字距调整小四 紧缩量  0.2 磅 + 首行缩进:  2 字符 Char"/>
    <w:basedOn w:val="36"/>
    <w:link w:val="59"/>
    <w:qFormat/>
    <w:uiPriority w:val="0"/>
    <w:rPr>
      <w:rFonts w:ascii="宋体" w:hAnsi="宋体" w:eastAsia="宋体" w:cs="宋体"/>
      <w:kern w:val="24"/>
      <w:sz w:val="24"/>
      <w:szCs w:val="24"/>
    </w:rPr>
  </w:style>
  <w:style w:type="paragraph" w:customStyle="1" w:styleId="59">
    <w:name w:val="样式 样式 正文@ + 首行缩进:  2 字符 字距调整小四 紧缩量  0.2 磅 + 首行缩进:  2 字符"/>
    <w:basedOn w:val="1"/>
    <w:link w:val="58"/>
    <w:qFormat/>
    <w:uiPriority w:val="0"/>
    <w:pPr>
      <w:spacing w:line="360" w:lineRule="auto"/>
      <w:ind w:firstLine="480" w:firstLineChars="200"/>
    </w:pPr>
    <w:rPr>
      <w:rFonts w:ascii="宋体" w:hAnsi="宋体" w:eastAsia="宋体" w:cs="宋体"/>
      <w:kern w:val="24"/>
      <w:sz w:val="24"/>
      <w:szCs w:val="24"/>
    </w:rPr>
  </w:style>
  <w:style w:type="character" w:customStyle="1" w:styleId="60">
    <w:name w:val="d1"/>
    <w:basedOn w:val="36"/>
    <w:qFormat/>
    <w:uiPriority w:val="0"/>
    <w:rPr>
      <w:rFonts w:hint="default" w:ascii="ˎ̥" w:hAnsi="ˎ̥"/>
      <w:color w:val="5C5C5C"/>
      <w:sz w:val="23"/>
      <w:szCs w:val="23"/>
      <w:u w:val="none"/>
    </w:rPr>
  </w:style>
  <w:style w:type="character" w:customStyle="1" w:styleId="61">
    <w:name w:val="正文2 Char Char"/>
    <w:basedOn w:val="36"/>
    <w:link w:val="62"/>
    <w:qFormat/>
    <w:uiPriority w:val="0"/>
    <w:rPr>
      <w:spacing w:val="18"/>
      <w:sz w:val="32"/>
    </w:rPr>
  </w:style>
  <w:style w:type="paragraph" w:customStyle="1" w:styleId="62">
    <w:name w:val="正文2"/>
    <w:link w:val="61"/>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3">
    <w:name w:val="表头 Char"/>
    <w:basedOn w:val="36"/>
    <w:link w:val="64"/>
    <w:qFormat/>
    <w:uiPriority w:val="0"/>
    <w:rPr>
      <w:rFonts w:ascii="黑体" w:eastAsia="黑体"/>
      <w:sz w:val="24"/>
    </w:rPr>
  </w:style>
  <w:style w:type="paragraph" w:customStyle="1" w:styleId="64">
    <w:name w:val="表头"/>
    <w:basedOn w:val="1"/>
    <w:link w:val="63"/>
    <w:qFormat/>
    <w:uiPriority w:val="0"/>
    <w:pPr>
      <w:spacing w:line="360" w:lineRule="auto"/>
      <w:jc w:val="center"/>
    </w:pPr>
    <w:rPr>
      <w:rFonts w:ascii="黑体" w:eastAsia="黑体"/>
      <w:sz w:val="24"/>
    </w:rPr>
  </w:style>
  <w:style w:type="character" w:customStyle="1" w:styleId="65">
    <w:name w:val="样式 表图头@ + 段前: 0.5 行 Char"/>
    <w:basedOn w:val="36"/>
    <w:link w:val="66"/>
    <w:qFormat/>
    <w:uiPriority w:val="0"/>
    <w:rPr>
      <w:rFonts w:ascii="宋体" w:hAnsi="宋体" w:eastAsia="宋体" w:cs="宋体"/>
    </w:rPr>
  </w:style>
  <w:style w:type="paragraph" w:customStyle="1" w:styleId="66">
    <w:name w:val="样式 表图头@ + 段前: 0.5 行"/>
    <w:basedOn w:val="1"/>
    <w:link w:val="65"/>
    <w:qFormat/>
    <w:uiPriority w:val="0"/>
    <w:pPr>
      <w:adjustRightInd w:val="0"/>
      <w:jc w:val="center"/>
    </w:pPr>
    <w:rPr>
      <w:rFonts w:ascii="宋体" w:hAnsi="宋体" w:eastAsia="宋体" w:cs="宋体"/>
    </w:rPr>
  </w:style>
  <w:style w:type="character" w:customStyle="1" w:styleId="67">
    <w:name w:val="style5"/>
    <w:basedOn w:val="36"/>
    <w:qFormat/>
    <w:uiPriority w:val="0"/>
  </w:style>
  <w:style w:type="character" w:customStyle="1" w:styleId="68">
    <w:name w:val="正文1 Char"/>
    <w:basedOn w:val="36"/>
    <w:link w:val="69"/>
    <w:qFormat/>
    <w:uiPriority w:val="0"/>
    <w:rPr>
      <w:rFonts w:eastAsia="宋体"/>
    </w:rPr>
  </w:style>
  <w:style w:type="paragraph" w:customStyle="1" w:styleId="69">
    <w:name w:val="正文1"/>
    <w:basedOn w:val="1"/>
    <w:link w:val="68"/>
    <w:qFormat/>
    <w:uiPriority w:val="0"/>
    <w:pPr>
      <w:adjustRightInd w:val="0"/>
      <w:snapToGrid w:val="0"/>
      <w:spacing w:line="500" w:lineRule="atLeast"/>
      <w:ind w:firstLine="567"/>
    </w:pPr>
    <w:rPr>
      <w:rFonts w:eastAsia="宋体"/>
    </w:rPr>
  </w:style>
  <w:style w:type="character" w:customStyle="1" w:styleId="70">
    <w:name w:val="样式2 Char Char"/>
    <w:basedOn w:val="36"/>
    <w:link w:val="71"/>
    <w:qFormat/>
    <w:uiPriority w:val="0"/>
    <w:rPr>
      <w:rFonts w:ascii="黑体" w:hAnsi="宋体" w:eastAsia="黑体"/>
      <w:bCs/>
      <w:sz w:val="24"/>
      <w:szCs w:val="24"/>
    </w:rPr>
  </w:style>
  <w:style w:type="paragraph" w:customStyle="1" w:styleId="71">
    <w:name w:val="样式2"/>
    <w:basedOn w:val="1"/>
    <w:link w:val="70"/>
    <w:qFormat/>
    <w:uiPriority w:val="0"/>
    <w:pPr>
      <w:spacing w:line="360" w:lineRule="auto"/>
      <w:ind w:firstLine="840" w:firstLineChars="350"/>
    </w:pPr>
    <w:rPr>
      <w:rFonts w:ascii="黑体" w:hAnsi="宋体" w:eastAsia="黑体"/>
      <w:bCs/>
      <w:sz w:val="24"/>
      <w:szCs w:val="24"/>
    </w:rPr>
  </w:style>
  <w:style w:type="character" w:customStyle="1" w:styleId="72">
    <w:name w:val="正文缩进 Char"/>
    <w:basedOn w:val="36"/>
    <w:link w:val="9"/>
    <w:qFormat/>
    <w:uiPriority w:val="0"/>
    <w:rPr>
      <w:rFonts w:eastAsia="宋体"/>
      <w:szCs w:val="24"/>
    </w:rPr>
  </w:style>
  <w:style w:type="character" w:customStyle="1" w:styleId="73">
    <w:name w:val="题注 Char"/>
    <w:basedOn w:val="36"/>
    <w:link w:val="10"/>
    <w:qFormat/>
    <w:uiPriority w:val="0"/>
    <w:rPr>
      <w:rFonts w:ascii="宋体" w:hAnsi="Arial" w:eastAsia="宋体" w:cs="Arial"/>
    </w:rPr>
  </w:style>
  <w:style w:type="character" w:customStyle="1" w:styleId="74">
    <w:name w:val="纯文本 Char"/>
    <w:qFormat/>
    <w:uiPriority w:val="0"/>
    <w:rPr>
      <w:rFonts w:ascii="宋体" w:hAnsi="Courier New" w:eastAsia="宋体"/>
      <w:kern w:val="2"/>
      <w:sz w:val="21"/>
      <w:lang w:val="en-US" w:eastAsia="zh-CN" w:bidi="ar-SA"/>
    </w:rPr>
  </w:style>
  <w:style w:type="character" w:customStyle="1" w:styleId="75">
    <w:name w:val="纯文本 Char1"/>
    <w:link w:val="18"/>
    <w:qFormat/>
    <w:uiPriority w:val="0"/>
    <w:rPr>
      <w:rFonts w:ascii="宋体" w:hAnsi="Courier New" w:eastAsia="宋体"/>
    </w:rPr>
  </w:style>
  <w:style w:type="character" w:customStyle="1" w:styleId="76">
    <w:name w:val="批注主题 Char"/>
    <w:basedOn w:val="55"/>
    <w:link w:val="32"/>
    <w:qFormat/>
    <w:uiPriority w:val="0"/>
    <w:rPr>
      <w:b/>
      <w:bCs/>
      <w:szCs w:val="24"/>
    </w:rPr>
  </w:style>
  <w:style w:type="character" w:customStyle="1" w:styleId="77">
    <w:name w:val="正文文本 3 Char"/>
    <w:basedOn w:val="36"/>
    <w:link w:val="13"/>
    <w:qFormat/>
    <w:uiPriority w:val="0"/>
    <w:rPr>
      <w:rFonts w:ascii="Times New Roman" w:hAnsi="Times New Roman" w:eastAsia="宋体" w:cs="Times New Roman"/>
      <w:sz w:val="16"/>
      <w:szCs w:val="16"/>
    </w:rPr>
  </w:style>
  <w:style w:type="character" w:customStyle="1" w:styleId="78">
    <w:name w:val="文档结构图 Char"/>
    <w:basedOn w:val="36"/>
    <w:link w:val="11"/>
    <w:semiHidden/>
    <w:qFormat/>
    <w:uiPriority w:val="0"/>
    <w:rPr>
      <w:rFonts w:ascii="Times New Roman" w:hAnsi="Times New Roman" w:eastAsia="宋体" w:cs="Times New Roman"/>
      <w:szCs w:val="24"/>
      <w:shd w:val="clear" w:color="auto" w:fill="000080"/>
    </w:rPr>
  </w:style>
  <w:style w:type="character" w:customStyle="1" w:styleId="79">
    <w:name w:val="批注文字 字符1"/>
    <w:basedOn w:val="36"/>
    <w:semiHidden/>
    <w:qFormat/>
    <w:uiPriority w:val="99"/>
  </w:style>
  <w:style w:type="character" w:customStyle="1" w:styleId="80">
    <w:name w:val="批注主题 字符1"/>
    <w:basedOn w:val="79"/>
    <w:semiHidden/>
    <w:qFormat/>
    <w:uiPriority w:val="99"/>
    <w:rPr>
      <w:b/>
      <w:bCs/>
    </w:rPr>
  </w:style>
  <w:style w:type="character" w:customStyle="1" w:styleId="81">
    <w:name w:val="正文文本 Char"/>
    <w:basedOn w:val="36"/>
    <w:link w:val="14"/>
    <w:qFormat/>
    <w:uiPriority w:val="0"/>
    <w:rPr>
      <w:rFonts w:ascii="Times New Roman" w:hAnsi="Times New Roman" w:eastAsia="宋体" w:cs="Times New Roman"/>
      <w:sz w:val="32"/>
      <w:szCs w:val="20"/>
    </w:rPr>
  </w:style>
  <w:style w:type="character" w:customStyle="1" w:styleId="82">
    <w:name w:val="正文文本缩进 Char"/>
    <w:basedOn w:val="36"/>
    <w:link w:val="3"/>
    <w:qFormat/>
    <w:uiPriority w:val="0"/>
    <w:rPr>
      <w:rFonts w:ascii="宋体" w:hAnsi="Times New Roman" w:eastAsia="宋体" w:cs="Times New Roman"/>
      <w:sz w:val="24"/>
      <w:szCs w:val="24"/>
    </w:rPr>
  </w:style>
  <w:style w:type="character" w:customStyle="1" w:styleId="83">
    <w:name w:val="纯文本 字符1"/>
    <w:basedOn w:val="36"/>
    <w:semiHidden/>
    <w:qFormat/>
    <w:uiPriority w:val="99"/>
    <w:rPr>
      <w:rFonts w:hAnsi="Courier New" w:cs="Courier New" w:asciiTheme="minorEastAsia"/>
    </w:rPr>
  </w:style>
  <w:style w:type="character" w:customStyle="1" w:styleId="84">
    <w:name w:val="正文文本缩进 3 Char"/>
    <w:basedOn w:val="36"/>
    <w:link w:val="27"/>
    <w:qFormat/>
    <w:uiPriority w:val="0"/>
    <w:rPr>
      <w:rFonts w:ascii="宋体" w:hAnsi="Times New Roman" w:eastAsia="宋体" w:cs="Times New Roman"/>
      <w:sz w:val="28"/>
      <w:szCs w:val="20"/>
    </w:rPr>
  </w:style>
  <w:style w:type="character" w:customStyle="1" w:styleId="85">
    <w:name w:val="正文文本缩进 2 Char"/>
    <w:basedOn w:val="36"/>
    <w:link w:val="20"/>
    <w:qFormat/>
    <w:uiPriority w:val="0"/>
    <w:rPr>
      <w:rFonts w:ascii="Times New Roman" w:hAnsi="Times New Roman" w:eastAsia="宋体" w:cs="Times New Roman"/>
      <w:sz w:val="28"/>
      <w:szCs w:val="20"/>
    </w:rPr>
  </w:style>
  <w:style w:type="character" w:customStyle="1" w:styleId="86">
    <w:name w:val="正文文本 2 Char"/>
    <w:basedOn w:val="36"/>
    <w:link w:val="29"/>
    <w:qFormat/>
    <w:uiPriority w:val="0"/>
    <w:rPr>
      <w:rFonts w:ascii="Times New Roman" w:hAnsi="Times New Roman" w:eastAsia="宋体" w:cs="Times New Roman"/>
      <w:szCs w:val="20"/>
    </w:rPr>
  </w:style>
  <w:style w:type="paragraph" w:customStyle="1" w:styleId="87">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8">
    <w:name w:val="CM6"/>
    <w:basedOn w:val="89"/>
    <w:next w:val="89"/>
    <w:qFormat/>
    <w:uiPriority w:val="0"/>
    <w:pPr>
      <w:spacing w:line="626" w:lineRule="atLeast"/>
    </w:pPr>
    <w:rPr>
      <w:rFonts w:hAnsi="Times New Roman" w:cs="Times New Roman"/>
      <w:color w:val="auto"/>
    </w:rPr>
  </w:style>
  <w:style w:type="paragraph" w:customStyle="1" w:styleId="89">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90">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1">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2">
    <w:name w:val="p0"/>
    <w:basedOn w:val="1"/>
    <w:qFormat/>
    <w:uiPriority w:val="0"/>
    <w:pPr>
      <w:widowControl/>
    </w:pPr>
    <w:rPr>
      <w:rFonts w:hint="eastAsia" w:ascii="Times New Roman" w:hAnsi="Times New Roman" w:eastAsia="宋体" w:cs="Times New Roman"/>
      <w:sz w:val="24"/>
      <w:szCs w:val="24"/>
    </w:rPr>
  </w:style>
  <w:style w:type="paragraph" w:customStyle="1" w:styleId="93">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4">
    <w:name w:val="CM3"/>
    <w:basedOn w:val="89"/>
    <w:next w:val="89"/>
    <w:qFormat/>
    <w:uiPriority w:val="0"/>
    <w:pPr>
      <w:spacing w:line="468" w:lineRule="atLeast"/>
    </w:pPr>
    <w:rPr>
      <w:rFonts w:hAnsi="Times New Roman" w:cs="Times New Roman"/>
      <w:color w:val="auto"/>
    </w:rPr>
  </w:style>
  <w:style w:type="paragraph" w:customStyle="1" w:styleId="95">
    <w:name w:val="CM7"/>
    <w:basedOn w:val="89"/>
    <w:next w:val="89"/>
    <w:qFormat/>
    <w:uiPriority w:val="0"/>
    <w:pPr>
      <w:spacing w:line="471" w:lineRule="atLeast"/>
    </w:pPr>
    <w:rPr>
      <w:rFonts w:hAnsi="Times New Roman" w:cs="Times New Roman"/>
      <w:color w:val="auto"/>
    </w:rPr>
  </w:style>
  <w:style w:type="paragraph" w:customStyle="1" w:styleId="96">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7">
    <w:name w:val="CM8"/>
    <w:basedOn w:val="89"/>
    <w:next w:val="89"/>
    <w:qFormat/>
    <w:uiPriority w:val="0"/>
    <w:pPr>
      <w:spacing w:line="436" w:lineRule="atLeast"/>
    </w:pPr>
    <w:rPr>
      <w:rFonts w:ascii="仿宋_GB2312" w:hAnsi="Times New Roman" w:eastAsia="仿宋_GB2312" w:cs="Times New Roman"/>
      <w:color w:val="auto"/>
    </w:rPr>
  </w:style>
  <w:style w:type="paragraph" w:customStyle="1" w:styleId="98">
    <w:name w:val="Char1"/>
    <w:basedOn w:val="1"/>
    <w:qFormat/>
    <w:uiPriority w:val="0"/>
    <w:rPr>
      <w:rFonts w:ascii="Times New Roman" w:hAnsi="Times New Roman" w:eastAsia="宋体" w:cs="Times New Roman"/>
      <w:szCs w:val="24"/>
    </w:rPr>
  </w:style>
  <w:style w:type="paragraph" w:customStyle="1" w:styleId="99">
    <w:name w:val="2.1.1"/>
    <w:basedOn w:val="1"/>
    <w:qFormat/>
    <w:uiPriority w:val="0"/>
    <w:rPr>
      <w:rFonts w:ascii="Times New Roman" w:hAnsi="Times New Roman" w:eastAsia="宋体" w:cs="Times New Roman"/>
      <w:sz w:val="24"/>
      <w:szCs w:val="24"/>
    </w:rPr>
  </w:style>
  <w:style w:type="paragraph" w:customStyle="1" w:styleId="100">
    <w:name w:val="Char Char Char Char Char Char Char"/>
    <w:basedOn w:val="1"/>
    <w:qFormat/>
    <w:uiPriority w:val="0"/>
    <w:rPr>
      <w:rFonts w:ascii="Times New Roman" w:hAnsi="Times New Roman" w:eastAsia="宋体" w:cs="Times New Roman"/>
      <w:szCs w:val="24"/>
    </w:rPr>
  </w:style>
  <w:style w:type="paragraph" w:customStyle="1" w:styleId="101">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2">
    <w:name w:val="CM112"/>
    <w:basedOn w:val="89"/>
    <w:next w:val="89"/>
    <w:qFormat/>
    <w:uiPriority w:val="0"/>
    <w:rPr>
      <w:rFonts w:ascii="仿宋_GB2312" w:hAnsi="Times New Roman" w:eastAsia="仿宋_GB2312" w:cs="Times New Roman"/>
      <w:color w:val="auto"/>
    </w:rPr>
  </w:style>
  <w:style w:type="paragraph" w:customStyle="1" w:styleId="103">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4">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5">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6">
    <w:name w:val="大田正文"/>
    <w:basedOn w:val="3"/>
    <w:qFormat/>
    <w:uiPriority w:val="0"/>
    <w:pPr>
      <w:spacing w:line="500" w:lineRule="exact"/>
      <w:ind w:firstLine="567"/>
    </w:pPr>
    <w:rPr>
      <w:sz w:val="28"/>
      <w:szCs w:val="20"/>
    </w:rPr>
  </w:style>
  <w:style w:type="paragraph" w:customStyle="1" w:styleId="107">
    <w:name w:val="CM51"/>
    <w:basedOn w:val="89"/>
    <w:next w:val="89"/>
    <w:qFormat/>
    <w:uiPriority w:val="0"/>
    <w:rPr>
      <w:rFonts w:hAnsi="Times New Roman" w:cs="Times New Roman"/>
      <w:color w:val="auto"/>
    </w:rPr>
  </w:style>
  <w:style w:type="paragraph" w:styleId="108">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9">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10">
    <w:name w:val="4"/>
    <w:basedOn w:val="1"/>
    <w:next w:val="18"/>
    <w:qFormat/>
    <w:uiPriority w:val="0"/>
    <w:rPr>
      <w:rFonts w:ascii="宋体" w:hAnsi="Courier New" w:eastAsia="宋体" w:cs="Courier New"/>
      <w:szCs w:val="21"/>
    </w:rPr>
  </w:style>
  <w:style w:type="paragraph" w:customStyle="1" w:styleId="111">
    <w:name w:val="CM5"/>
    <w:basedOn w:val="89"/>
    <w:next w:val="89"/>
    <w:qFormat/>
    <w:uiPriority w:val="0"/>
    <w:pPr>
      <w:spacing w:line="436" w:lineRule="atLeast"/>
    </w:pPr>
    <w:rPr>
      <w:rFonts w:ascii="仿宋_GB2312" w:hAnsi="Times New Roman" w:eastAsia="仿宋_GB2312" w:cs="Times New Roman"/>
      <w:color w:val="auto"/>
    </w:rPr>
  </w:style>
  <w:style w:type="paragraph" w:customStyle="1" w:styleId="112">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3">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4">
    <w:name w:val="三级标题"/>
    <w:basedOn w:val="1"/>
    <w:qFormat/>
    <w:uiPriority w:val="0"/>
    <w:pPr>
      <w:spacing w:line="360" w:lineRule="auto"/>
    </w:pPr>
    <w:rPr>
      <w:rFonts w:ascii="宋体" w:hAnsi="宋体" w:eastAsia="宋体" w:cs="Times New Roman"/>
      <w:bCs/>
      <w:sz w:val="24"/>
      <w:szCs w:val="24"/>
    </w:rPr>
  </w:style>
  <w:style w:type="paragraph" w:customStyle="1" w:styleId="11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6">
    <w:name w:val="默认段落字体 Para Char Char Char Char"/>
    <w:basedOn w:val="1"/>
    <w:qFormat/>
    <w:uiPriority w:val="0"/>
    <w:rPr>
      <w:rFonts w:ascii="Times New Roman" w:hAnsi="Times New Roman" w:eastAsia="宋体" w:cs="Times New Roman"/>
      <w:szCs w:val="21"/>
    </w:rPr>
  </w:style>
  <w:style w:type="paragraph" w:customStyle="1" w:styleId="117">
    <w:name w:val="CM40"/>
    <w:basedOn w:val="89"/>
    <w:next w:val="89"/>
    <w:qFormat/>
    <w:uiPriority w:val="0"/>
    <w:rPr>
      <w:rFonts w:hAnsi="Times New Roman" w:cs="Times New Roman"/>
      <w:color w:val="auto"/>
    </w:rPr>
  </w:style>
  <w:style w:type="paragraph" w:customStyle="1" w:styleId="118">
    <w:name w:val="CM109"/>
    <w:basedOn w:val="89"/>
    <w:next w:val="89"/>
    <w:qFormat/>
    <w:uiPriority w:val="0"/>
    <w:rPr>
      <w:rFonts w:ascii="仿宋_GB2312" w:hAnsi="Times New Roman" w:eastAsia="仿宋_GB2312" w:cs="Times New Roman"/>
      <w:color w:val="auto"/>
    </w:rPr>
  </w:style>
  <w:style w:type="paragraph" w:customStyle="1" w:styleId="119">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20">
    <w:name w:val="TOC Heading"/>
    <w:basedOn w:val="5"/>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1">
    <w:name w:val="List Paragraph1"/>
    <w:basedOn w:val="1"/>
    <w:qFormat/>
    <w:uiPriority w:val="99"/>
    <w:pPr>
      <w:ind w:firstLine="420" w:firstLineChars="200"/>
    </w:pPr>
    <w:rPr>
      <w:rFonts w:ascii="Calibri" w:hAnsi="Calibri" w:eastAsia="宋体" w:cs="Times New Roman"/>
    </w:rPr>
  </w:style>
  <w:style w:type="table" w:customStyle="1" w:styleId="122">
    <w:name w:val="网格型1"/>
    <w:basedOn w:val="3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3">
    <w:name w:val="列出段落1"/>
    <w:basedOn w:val="1"/>
    <w:qFormat/>
    <w:uiPriority w:val="34"/>
    <w:pPr>
      <w:ind w:firstLine="420" w:firstLineChars="200"/>
    </w:pPr>
  </w:style>
  <w:style w:type="paragraph" w:customStyle="1" w:styleId="124">
    <w:name w:val="Body text|2"/>
    <w:basedOn w:val="1"/>
    <w:link w:val="126"/>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5">
    <w:name w:val="Body text|2 + Spacing 1 pt"/>
    <w:basedOn w:val="126"/>
    <w:semiHidden/>
    <w:unhideWhenUsed/>
    <w:qFormat/>
    <w:uiPriority w:val="0"/>
    <w:rPr>
      <w:color w:val="000000"/>
      <w:spacing w:val="30"/>
      <w:w w:val="100"/>
      <w:position w:val="0"/>
      <w:lang w:val="zh-CN" w:eastAsia="zh-CN" w:bidi="zh-CN"/>
    </w:rPr>
  </w:style>
  <w:style w:type="character" w:customStyle="1" w:styleId="126">
    <w:name w:val="Body text|2_"/>
    <w:basedOn w:val="36"/>
    <w:link w:val="124"/>
    <w:qFormat/>
    <w:uiPriority w:val="0"/>
    <w:rPr>
      <w:rFonts w:ascii="PMingLiU" w:hAnsi="PMingLiU" w:eastAsia="PMingLiU" w:cs="PMingLiU"/>
      <w:sz w:val="22"/>
      <w:szCs w:val="22"/>
      <w:u w:val="none"/>
    </w:rPr>
  </w:style>
  <w:style w:type="paragraph" w:customStyle="1" w:styleId="127">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9">
    <w:name w:val="表格正文"/>
    <w:basedOn w:val="1"/>
    <w:next w:val="130"/>
    <w:qFormat/>
    <w:uiPriority w:val="0"/>
    <w:pPr>
      <w:spacing w:line="360" w:lineRule="exact"/>
      <w:jc w:val="center"/>
    </w:pPr>
  </w:style>
  <w:style w:type="paragraph" w:customStyle="1" w:styleId="130">
    <w:name w:val="正"/>
    <w:basedOn w:val="1"/>
    <w:qFormat/>
    <w:uiPriority w:val="99"/>
    <w:pPr>
      <w:spacing w:line="360" w:lineRule="auto"/>
      <w:ind w:firstLine="200" w:firstLineChars="200"/>
    </w:pPr>
    <w:rPr>
      <w:sz w:val="24"/>
    </w:rPr>
  </w:style>
  <w:style w:type="paragraph" w:customStyle="1" w:styleId="131">
    <w:name w:val="表格1"/>
    <w:basedOn w:val="9"/>
    <w:next w:val="9"/>
    <w:qFormat/>
    <w:uiPriority w:val="0"/>
    <w:pPr>
      <w:adjustRightInd w:val="0"/>
      <w:snapToGrid w:val="0"/>
      <w:spacing w:line="340" w:lineRule="exact"/>
      <w:ind w:firstLine="0" w:firstLineChars="0"/>
      <w:jc w:val="center"/>
    </w:pPr>
    <w:rPr>
      <w:szCs w:val="20"/>
    </w:rPr>
  </w:style>
  <w:style w:type="paragraph" w:customStyle="1" w:styleId="132">
    <w:name w:val="Table Paragraph"/>
    <w:basedOn w:val="1"/>
    <w:qFormat/>
    <w:uiPriority w:val="1"/>
    <w:rPr>
      <w:rFonts w:ascii="宋体" w:hAnsi="宋体" w:eastAsia="宋体" w:cs="宋体"/>
      <w:lang w:val="zh-CN" w:eastAsia="zh-CN" w:bidi="zh-CN"/>
    </w:rPr>
  </w:style>
  <w:style w:type="paragraph" w:customStyle="1" w:styleId="133">
    <w:name w:val="书正文"/>
    <w:basedOn w:val="1"/>
    <w:qFormat/>
    <w:uiPriority w:val="0"/>
    <w:pPr>
      <w:spacing w:line="500" w:lineRule="exact"/>
      <w:ind w:firstLine="640" w:firstLineChars="200"/>
    </w:pPr>
  </w:style>
  <w:style w:type="paragraph" w:customStyle="1" w:styleId="134">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5">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6">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7">
    <w:name w:val="表内容"/>
    <w:basedOn w:val="1"/>
    <w:qFormat/>
    <w:uiPriority w:val="0"/>
    <w:pPr>
      <w:adjustRightInd w:val="0"/>
      <w:spacing w:line="320" w:lineRule="exact"/>
      <w:jc w:val="center"/>
    </w:pPr>
    <w:rPr>
      <w:szCs w:val="21"/>
    </w:rPr>
  </w:style>
  <w:style w:type="paragraph" w:customStyle="1" w:styleId="138">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139">
    <w:name w:val="表格居中"/>
    <w:qFormat/>
    <w:uiPriority w:val="0"/>
    <w:pPr>
      <w:spacing w:line="440" w:lineRule="exact"/>
      <w:jc w:val="center"/>
    </w:pPr>
    <w:rPr>
      <w:rFonts w:ascii="Arial Unicode MS" w:hAnsi="Arial Unicode MS" w:eastAsia="MingLiU" w:cs="Arial Unicode MS"/>
      <w:kern w:val="2"/>
      <w:sz w:val="24"/>
      <w:szCs w:val="24"/>
      <w:lang w:val="en-US" w:eastAsia="zh-CN" w:bidi="ar-SA"/>
    </w:rPr>
  </w:style>
  <w:style w:type="paragraph" w:customStyle="1" w:styleId="140">
    <w:name w:val="表格"/>
    <w:basedOn w:val="1"/>
    <w:next w:val="1"/>
    <w:uiPriority w:val="0"/>
    <w:pPr>
      <w:adjustRightInd w:val="0"/>
      <w:snapToGrid w:val="0"/>
      <w:spacing w:beforeLines="10" w:afterLines="10" w:line="259" w:lineRule="auto"/>
      <w:jc w:val="center"/>
    </w:pPr>
    <w:rPr>
      <w:rFonts w:ascii="宋体"/>
      <w:kern w:val="0"/>
      <w:szCs w:val="20"/>
    </w:rPr>
  </w:style>
  <w:style w:type="character" w:customStyle="1" w:styleId="141">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6"/>
    <customShpInfo spid="_x0000_s1198"/>
    <customShpInfo spid="_x0000_s119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29</Pages>
  <Words>9766</Words>
  <Characters>11562</Characters>
  <Lines>234</Lines>
  <Paragraphs>66</Paragraphs>
  <TotalTime>1</TotalTime>
  <ScaleCrop>false</ScaleCrop>
  <LinksUpToDate>false</LinksUpToDate>
  <CharactersWithSpaces>14299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2023-02-07T06:30:40Z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2DD0601DC74D453DA8F802A73678D168</vt:lpwstr>
  </property>
</Properties>
</file>