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HJSRCBWCLYXGS001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河间市仁诚保温材料有限公司</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聚乙烯泡沫塑料制品新建项目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河间市仁诚保温材料有限公司</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河间市仁诚保温材料有限公司</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23</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03</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7"/>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7"/>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7"/>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7"/>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7"/>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4.1建设项目环评报告</w:t>
          </w:r>
          <w:r>
            <w:rPr>
              <w:rStyle w:val="37"/>
              <w:rFonts w:hint="eastAsia" w:ascii="Times New Roman" w:hAnsi="Times New Roman" w:eastAsia="宋体" w:cs="Times New Roman"/>
              <w:sz w:val="24"/>
              <w:szCs w:val="24"/>
              <w:lang w:val="en-US" w:eastAsia="zh-CN"/>
            </w:rPr>
            <w:t>表</w:t>
          </w:r>
          <w:r>
            <w:rPr>
              <w:rStyle w:val="37"/>
              <w:rFonts w:hint="default" w:ascii="Times New Roman" w:hAnsi="Times New Roman" w:eastAsia="宋体" w:cs="Times New Roman"/>
              <w:sz w:val="24"/>
              <w:szCs w:val="24"/>
            </w:rPr>
            <w:t>的主要结论</w:t>
          </w:r>
          <w:r>
            <w:rPr>
              <w:rStyle w:val="37"/>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7"/>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7"/>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7"/>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17</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7"/>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7"/>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7"/>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7"/>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bookmarkStart w:id="128" w:name="_GoBack"/>
      <w:bookmarkEnd w:id="128"/>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4"/>
        <w:jc w:val="center"/>
        <w:rPr>
          <w:rFonts w:hint="default" w:ascii="Times New Roman" w:hAnsi="Times New Roman" w:cs="Times New Roman"/>
        </w:rPr>
      </w:pPr>
      <w:bookmarkStart w:id="2" w:name="_Toc504325317"/>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河间市仁诚保温材料有限公司</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河间市束城镇束城村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20万元建设聚乙烯泡沫塑料制品新建项目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2022年06月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河间市仁诚保温材料有限公司聚乙烯泡沫塑料制品新建项目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2022年07月22日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河环表[2022]（07-20）号。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河间市仁诚保温材料有限公司聚乙烯泡沫塑料制品新建项目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河间市仁诚保温材料有限公司</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2023年03月18日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2023年03月19日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河间市仁诚保温材料有限公司</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《合成树脂工业污染物排放标准》（GB31572-2015）；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（12）《挥发性有机物无组织排放控制标准》（GB 37822-2019）；</w:t>
      </w:r>
    </w:p>
    <w:p>
      <w:pPr>
        <w:pStyle w:val="2"/>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13</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河间市仁诚保温材料有限公司聚乙烯泡沫塑料制品新建项目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2022年06月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河间市仁诚保温材料有限公司聚乙烯泡沫塑料制品新建项目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河环表[2022]（07-20）号，2022年07月22日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7001436"/>
      <w:bookmarkStart w:id="10" w:name="_Toc496979000"/>
      <w:bookmarkStart w:id="11" w:name="_Toc504325324"/>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聚乙烯泡沫塑料制品新建项目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河间市仁诚保温材料有限公司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杨少刚</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杨少刚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河间市束城镇束城村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15127196999</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C2924泡沫塑料制造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河间市束城镇束城村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7001437"/>
      <w:bookmarkStart w:id="14" w:name="_Toc496979001"/>
      <w:bookmarkStart w:id="15" w:name="_Toc504325325"/>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河间市束城镇束城村</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13.37</w:t>
      </w:r>
      <w:r>
        <w:rPr>
          <w:rFonts w:hint="default" w:ascii="Times New Roman" w:hAnsi="Times New Roman" w:eastAsia="宋体" w:cs="Times New Roman"/>
          <w:color w:val="auto"/>
          <w:sz w:val="24"/>
        </w:rPr>
        <w:t>"，北纬38°3</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3.15</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7001438"/>
      <w:bookmarkStart w:id="17" w:name="_Toc504325326"/>
      <w:bookmarkStart w:id="18" w:name="_Toc496979002"/>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年产聚乙烯泡沫棒1500立方米、聚乙烯泡沫板2000立方米、聚乙烯泡沫管1500立方米</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1" w:name="_Toc504325329"/>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br w:type="page"/>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1"/>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聚乙烯颗粒</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500</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96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丁烷</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t/a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96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新鲜水</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m³/a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120</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965"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w:t>
            </w:r>
          </w:p>
        </w:tc>
        <w:tc>
          <w:tcPr>
            <w:tcW w:w="1701" w:type="dxa"/>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万kWh/a</w:t>
            </w:r>
          </w:p>
        </w:tc>
        <w:tc>
          <w:tcPr>
            <w:tcW w:w="1543"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c>
          <w:tcPr>
            <w:tcW w:w="1529" w:type="dxa"/>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w:t>
            </w:r>
          </w:p>
        </w:tc>
      </w:tr>
    </w:tbl>
    <w:p>
      <w:pPr>
        <w:pStyle w:val="6"/>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环保工程内容</w:t>
      </w:r>
      <w:r>
        <w:rPr>
          <w:rFonts w:hint="default" w:ascii="Times New Roman" w:hAnsi="Times New Roman" w:eastAsia="宋体" w:cs="Times New Roman"/>
          <w:sz w:val="24"/>
          <w:szCs w:val="24"/>
        </w:rPr>
        <w:t>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环保工程内容</w:t>
      </w:r>
      <w:r>
        <w:rPr>
          <w:rFonts w:hint="default" w:ascii="Times New Roman" w:hAnsi="Times New Roman" w:eastAsia="宋体" w:cs="Times New Roman"/>
          <w:b/>
          <w:bCs/>
          <w:sz w:val="24"/>
          <w:szCs w:val="24"/>
        </w:rPr>
        <w:t>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573"/>
        <w:gridCol w:w="4481"/>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bookmarkStart w:id="23" w:name="_Toc504325331"/>
            <w:r>
              <w:rPr>
                <w:rFonts w:hint="default" w:ascii="Times New Roman" w:hAnsi="Times New Roman" w:eastAsia="宋体" w:cs="Times New Roman"/>
                <w:color w:val="auto"/>
                <w:sz w:val="21"/>
                <w:szCs w:val="21"/>
                <w:lang w:val="en-US" w:eastAsia="zh-CN"/>
              </w:rPr>
              <w:t>序号</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污染类型</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w:t>
            </w:r>
            <w:r>
              <w:rPr>
                <w:rFonts w:hint="eastAsia" w:ascii="Times New Roman" w:hAnsi="Times New Roman" w:eastAsia="宋体" w:cs="Times New Roman"/>
                <w:color w:val="auto"/>
                <w:sz w:val="21"/>
                <w:szCs w:val="21"/>
                <w:lang w:val="en-US" w:eastAsia="zh-CN"/>
              </w:rPr>
              <w:t>工程</w:t>
            </w:r>
            <w:r>
              <w:rPr>
                <w:rFonts w:hint="default" w:ascii="Times New Roman" w:hAnsi="Times New Roman" w:eastAsia="宋体" w:cs="Times New Roman"/>
                <w:color w:val="auto"/>
                <w:sz w:val="21"/>
                <w:szCs w:val="21"/>
                <w:lang w:val="en-US" w:eastAsia="zh-CN"/>
              </w:rPr>
              <w:t>内容</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挤出发泡工序废气经集气罩+软帘收集后引入1套二级活性炭吸附装置处理，处理后废气由1根15m排气筒排放（DA001）</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项目冷却用水循环使用不外排，定期补充新鲜水；不设食宿，职工生活盥洗废水用于厂区泼洒抑尘；所在厂区设有防渗旱厕，定期清掏用于农田施肥</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生产设备采取基础减振、厂房隔声等降噪措施</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一般固废：废包装材料收集后外售综合利用；塑料边角料收集后回用于生产；</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危险废物：废活性炭于危废暂存间内暂存，定期交有资质单位处置；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生活垃圾收集后由环卫部门清运处置</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3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2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防渗</w:t>
            </w:r>
          </w:p>
        </w:tc>
        <w:tc>
          <w:tcPr>
            <w:tcW w:w="2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生产车间、库房地面硬化采取防渗处理，渗透系数不低于10</w:t>
            </w:r>
            <w:r>
              <w:rPr>
                <w:rFonts w:hint="eastAsia" w:ascii="Times New Roman" w:hAnsi="Times New Roman" w:eastAsia="宋体" w:cs="Times New Roman"/>
                <w:color w:val="auto"/>
                <w:sz w:val="21"/>
                <w:szCs w:val="21"/>
                <w:vertAlign w:val="superscript"/>
                <w:lang w:val="en-US" w:eastAsia="zh-CN"/>
              </w:rPr>
              <w:t>-7</w:t>
            </w:r>
            <w:r>
              <w:rPr>
                <w:rFonts w:hint="eastAsia" w:ascii="Times New Roman" w:hAnsi="Times New Roman" w:eastAsia="宋体" w:cs="Times New Roman"/>
                <w:color w:val="auto"/>
                <w:sz w:val="21"/>
                <w:szCs w:val="21"/>
                <w:lang w:val="en-US" w:eastAsia="zh-CN"/>
              </w:rPr>
              <w:t>cm/s，危废暂存间采取防渗处理，渗透系数不低于10</w:t>
            </w:r>
            <w:r>
              <w:rPr>
                <w:rFonts w:hint="eastAsia" w:ascii="Times New Roman" w:hAnsi="Times New Roman" w:eastAsia="宋体" w:cs="Times New Roman"/>
                <w:color w:val="auto"/>
                <w:sz w:val="21"/>
                <w:szCs w:val="21"/>
                <w:vertAlign w:val="superscript"/>
                <w:lang w:val="en-US" w:eastAsia="zh-CN"/>
              </w:rPr>
              <w:t>-10</w:t>
            </w:r>
            <w:r>
              <w:rPr>
                <w:rFonts w:hint="eastAsia" w:ascii="Times New Roman" w:hAnsi="Times New Roman" w:eastAsia="宋体" w:cs="Times New Roman"/>
                <w:color w:val="auto"/>
                <w:sz w:val="21"/>
                <w:szCs w:val="21"/>
                <w:lang w:val="en-US" w:eastAsia="zh-CN"/>
              </w:rPr>
              <w:t>cm/s</w:t>
            </w:r>
          </w:p>
        </w:tc>
        <w:tc>
          <w:tcPr>
            <w:tcW w:w="105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与环评建设一致</w:t>
            </w: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1"/>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挤出机</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科力9</w:t>
            </w:r>
            <w:r>
              <w:rPr>
                <w:rFonts w:hint="default" w:ascii="Times New Roman" w:hAnsi="Times New Roman" w:eastAsia="宋体" w:cs="Times New Roman"/>
                <w:b w:val="0"/>
                <w:bCs w:val="0"/>
                <w:kern w:val="0"/>
                <w:sz w:val="21"/>
                <w:szCs w:val="21"/>
              </w:rPr>
              <w:t>0</w:t>
            </w:r>
          </w:p>
        </w:tc>
        <w:tc>
          <w:tcPr>
            <w:tcW w:w="1531"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搅拌机</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rPr>
              <w:t>1m×1m×2.5m</w:t>
            </w:r>
          </w:p>
        </w:tc>
        <w:tc>
          <w:tcPr>
            <w:tcW w:w="1531"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牵引机</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rPr>
              <w:t>1</w:t>
            </w:r>
            <w:r>
              <w:rPr>
                <w:rFonts w:hint="eastAsia" w:ascii="Times New Roman" w:hAnsi="Times New Roman" w:eastAsia="宋体" w:cs="Times New Roman"/>
                <w:b w:val="0"/>
                <w:bCs w:val="0"/>
                <w:kern w:val="0"/>
                <w:sz w:val="21"/>
                <w:szCs w:val="21"/>
              </w:rPr>
              <w:t>.2</w:t>
            </w:r>
            <w:r>
              <w:rPr>
                <w:rFonts w:hint="default" w:ascii="Times New Roman" w:hAnsi="Times New Roman" w:eastAsia="宋体" w:cs="Times New Roman"/>
                <w:b w:val="0"/>
                <w:bCs w:val="0"/>
                <w:kern w:val="0"/>
                <w:sz w:val="21"/>
                <w:szCs w:val="21"/>
              </w:rPr>
              <w:t>m×1m×</w:t>
            </w:r>
            <w:r>
              <w:rPr>
                <w:rFonts w:hint="eastAsia" w:ascii="Times New Roman" w:hAnsi="Times New Roman" w:eastAsia="宋体" w:cs="Times New Roman"/>
                <w:b w:val="0"/>
                <w:bCs w:val="0"/>
                <w:kern w:val="0"/>
                <w:sz w:val="21"/>
                <w:szCs w:val="21"/>
              </w:rPr>
              <w:t>1.2</w:t>
            </w:r>
            <w:r>
              <w:rPr>
                <w:rFonts w:hint="default" w:ascii="Times New Roman" w:hAnsi="Times New Roman" w:eastAsia="宋体" w:cs="Times New Roman"/>
                <w:b w:val="0"/>
                <w:bCs w:val="0"/>
                <w:kern w:val="0"/>
                <w:sz w:val="21"/>
                <w:szCs w:val="21"/>
              </w:rPr>
              <w:t>m</w:t>
            </w:r>
          </w:p>
        </w:tc>
        <w:tc>
          <w:tcPr>
            <w:tcW w:w="1531"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4</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模具</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w:t>
            </w:r>
          </w:p>
        </w:tc>
        <w:tc>
          <w:tcPr>
            <w:tcW w:w="1531"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r>
              <w:rPr>
                <w:rFonts w:hint="default" w:ascii="Times New Roman" w:hAnsi="Times New Roman" w:eastAsia="宋体" w:cs="Times New Roman"/>
                <w:b w:val="0"/>
                <w:bCs w:val="0"/>
                <w:kern w:val="0"/>
                <w:sz w:val="21"/>
                <w:szCs w:val="21"/>
              </w:rPr>
              <w:t>0</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r>
              <w:rPr>
                <w:rFonts w:hint="default" w:ascii="Times New Roman" w:hAnsi="Times New Roman" w:eastAsia="宋体" w:cs="Times New Roman"/>
                <w:b w:val="0"/>
                <w:bCs w:val="0"/>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5</w:t>
            </w:r>
          </w:p>
        </w:tc>
        <w:tc>
          <w:tcPr>
            <w:tcW w:w="2830"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裁切机</w:t>
            </w:r>
          </w:p>
        </w:tc>
        <w:tc>
          <w:tcPr>
            <w:tcW w:w="2342"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w:t>
            </w:r>
          </w:p>
        </w:tc>
        <w:tc>
          <w:tcPr>
            <w:tcW w:w="1531"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p>
        </w:tc>
        <w:tc>
          <w:tcPr>
            <w:tcW w:w="1087"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30"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打包机</w:t>
            </w:r>
          </w:p>
        </w:tc>
        <w:tc>
          <w:tcPr>
            <w:tcW w:w="2342"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2</w:t>
            </w:r>
            <w:r>
              <w:rPr>
                <w:rFonts w:hint="default" w:ascii="Times New Roman" w:hAnsi="Times New Roman" w:eastAsia="宋体" w:cs="Times New Roman"/>
                <w:b w:val="0"/>
                <w:bCs w:val="0"/>
                <w:kern w:val="0"/>
                <w:sz w:val="21"/>
                <w:szCs w:val="21"/>
              </w:rPr>
              <w:t>m×</w:t>
            </w:r>
            <w:r>
              <w:rPr>
                <w:rFonts w:hint="eastAsia" w:ascii="Times New Roman" w:hAnsi="Times New Roman" w:eastAsia="宋体" w:cs="Times New Roman"/>
                <w:b w:val="0"/>
                <w:bCs w:val="0"/>
                <w:kern w:val="0"/>
                <w:sz w:val="21"/>
                <w:szCs w:val="21"/>
              </w:rPr>
              <w:t>1</w:t>
            </w:r>
            <w:r>
              <w:rPr>
                <w:rFonts w:hint="default" w:ascii="Times New Roman" w:hAnsi="Times New Roman" w:eastAsia="宋体" w:cs="Times New Roman"/>
                <w:b w:val="0"/>
                <w:bCs w:val="0"/>
                <w:kern w:val="0"/>
                <w:sz w:val="21"/>
                <w:szCs w:val="21"/>
              </w:rPr>
              <w:t>m×</w:t>
            </w:r>
            <w:r>
              <w:rPr>
                <w:rFonts w:hint="eastAsia" w:ascii="Times New Roman" w:hAnsi="Times New Roman" w:eastAsia="宋体" w:cs="Times New Roman"/>
                <w:b w:val="0"/>
                <w:bCs w:val="0"/>
                <w:kern w:val="0"/>
                <w:sz w:val="21"/>
                <w:szCs w:val="21"/>
              </w:rPr>
              <w:t>1</w:t>
            </w:r>
            <w:r>
              <w:rPr>
                <w:rFonts w:hint="default" w:ascii="Times New Roman" w:hAnsi="Times New Roman" w:eastAsia="宋体" w:cs="Times New Roman"/>
                <w:b w:val="0"/>
                <w:bCs w:val="0"/>
                <w:kern w:val="0"/>
                <w:sz w:val="21"/>
                <w:szCs w:val="21"/>
              </w:rPr>
              <w:t>m</w:t>
            </w:r>
          </w:p>
        </w:tc>
        <w:tc>
          <w:tcPr>
            <w:tcW w:w="1531"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2</w:t>
            </w:r>
          </w:p>
        </w:tc>
        <w:tc>
          <w:tcPr>
            <w:tcW w:w="1087"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粉碎机</w:t>
            </w:r>
          </w:p>
        </w:tc>
        <w:tc>
          <w:tcPr>
            <w:tcW w:w="2342"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w:t>
            </w:r>
          </w:p>
        </w:tc>
        <w:tc>
          <w:tcPr>
            <w:tcW w:w="1531"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p>
        </w:tc>
        <w:tc>
          <w:tcPr>
            <w:tcW w:w="1087" w:type="dxa"/>
            <w:vAlign w:val="center"/>
          </w:tcPr>
          <w:p>
            <w:pPr>
              <w:widowControl/>
              <w:spacing w:line="240" w:lineRule="auto"/>
              <w:jc w:val="center"/>
              <w:rPr>
                <w:rFonts w:hint="eastAsia" w:ascii="Times New Roman" w:hAnsi="Times New Roman" w:eastAsia="宋体" w:cs="Times New Roman"/>
                <w:b w:val="0"/>
                <w:bCs w:val="0"/>
                <w:kern w:val="0"/>
                <w:sz w:val="21"/>
                <w:szCs w:val="21"/>
                <w:lang w:val="en-US" w:eastAsia="zh-CN"/>
              </w:rPr>
            </w:pPr>
            <w:r>
              <w:rPr>
                <w:rFonts w:hint="eastAsia" w:ascii="Times New Roman" w:hAnsi="Times New Roman" w:eastAsia="宋体" w:cs="Times New Roman"/>
                <w:b w:val="0"/>
                <w:bCs w:val="0"/>
                <w:kern w:val="0"/>
                <w:sz w:val="21"/>
                <w:szCs w:val="21"/>
              </w:rPr>
              <w:t>1</w:t>
            </w:r>
          </w:p>
        </w:tc>
      </w:tr>
    </w:tbl>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218440</wp:posOffset>
            </wp:positionH>
            <wp:positionV relativeFrom="paragraph">
              <wp:posOffset>222250</wp:posOffset>
            </wp:positionV>
            <wp:extent cx="5665470" cy="1234440"/>
            <wp:effectExtent l="0" t="0" r="11430" b="381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665470" cy="123444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①搅拌：将聚乙烯原料由人工投加至搅拌机内进行搅拌，原料为颗粒，该工序不产生粉尘，有设备噪声、原料废包装袋产生。</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②挤出、发泡：挤出机生产线设有温度控温系统，分为塑化段和发泡成型段。塑化段温度设定为140~200℃，发泡成型段温度设定为80~90℃。塑化阶段温度控制是由电加热控制。发泡成型阶段温度控制主要是通过冷却系统实现，冷却水循环使用，不外排。</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搅拌好的物料加入挤出机中，经过加热塑化熔融物料，随后通过气泵加入发泡剂（丁烷）充分接触混合，通过不同的成型模头后减压释放而成为发泡制品。生产过程产生塑料边角料经粉碎机剪切成大颗粒后回用于生产，粉碎机运行原理主要为剪切、碾碎作用，将塑料边角料剪切成塑料颗粒，不形成粉末，该工序不产生粉尘。该工序产生有机废气、设备噪声，塑料边角料，有机废气治理设施产生废活性炭。</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③牵引拉直：挤出的聚乙烯泡沫制品再牵引机作用下进行牵引拉直，牵引后的泡沫制品经风吹冷却定型，并使用裁切机裁切成产品所需规格。该工序产生设备噪声。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④包装入库：将检验合格的成品经打包机包装入库。该工序产生设备噪声。</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每天三班，每班8小时</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496979011"/>
      <w:bookmarkStart w:id="29" w:name="_Toc504325335"/>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项目用水由当地集中供水管网提供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排水：项目冷却用水循环使用不外排，定期补充新鲜水</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项目职工生活盥洗废水，直接用于厂区泼洒抑尘，所在厂区建设有防渗旱厕，由当地农民定期清掏用作农肥</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6979012"/>
      <w:bookmarkStart w:id="31" w:name="_Toc504325336"/>
      <w:bookmarkStart w:id="32" w:name="_Toc497001448"/>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由当地集中供电系统提供</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于2022年06月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2022年07月22日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河环表[2022]（07-20）号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20万元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p>
    <w:p>
      <w:pPr>
        <w:rPr>
          <w:rFonts w:hint="default" w:ascii="Times New Roman" w:hAnsi="Times New Roman" w:cs="Times New Roman"/>
        </w:rPr>
      </w:pPr>
      <w:bookmarkStart w:id="35" w:name="_Toc504325340"/>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1"/>
        <w:tblW w:w="8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878"/>
        <w:gridCol w:w="980"/>
        <w:gridCol w:w="1705"/>
        <w:gridCol w:w="2531"/>
        <w:gridCol w:w="8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985" w:type="dxa"/>
            <w:tcBorders>
              <w:tl2br w:val="single" w:color="auto" w:sz="4" w:space="0"/>
            </w:tcBorders>
            <w:noWrap w:val="0"/>
            <w:vAlign w:val="top"/>
          </w:tcPr>
          <w:p>
            <w:pPr>
              <w:adjustRightInd w:val="0"/>
              <w:snapToGrid w:val="0"/>
              <w:spacing w:line="240" w:lineRule="auto"/>
              <w:jc w:val="right"/>
              <w:rPr>
                <w:rFonts w:hint="default" w:ascii="Times New Roman" w:hAnsi="Times New Roman" w:eastAsia="宋体" w:cs="Times New Roman"/>
                <w:color w:val="000000"/>
                <w:sz w:val="21"/>
                <w:szCs w:val="21"/>
              </w:rPr>
            </w:pPr>
            <w:bookmarkStart w:id="38" w:name="_Toc504325342"/>
            <w:r>
              <w:rPr>
                <w:rFonts w:hint="default" w:ascii="Times New Roman" w:hAnsi="Times New Roman" w:eastAsia="宋体" w:cs="Times New Roman"/>
                <w:color w:val="000000"/>
                <w:sz w:val="21"/>
                <w:szCs w:val="21"/>
              </w:rPr>
              <w:t>内容</w:t>
            </w:r>
          </w:p>
          <w:p>
            <w:pPr>
              <w:adjustRightInd w:val="0"/>
              <w:snapToGrid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要素</w:t>
            </w:r>
          </w:p>
        </w:tc>
        <w:tc>
          <w:tcPr>
            <w:tcW w:w="187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排放口(编号、</w:t>
            </w:r>
          </w:p>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名称)/污染源</w:t>
            </w:r>
          </w:p>
        </w:tc>
        <w:tc>
          <w:tcPr>
            <w:tcW w:w="980"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污染物项目</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环境保护措施</w:t>
            </w:r>
          </w:p>
        </w:tc>
        <w:tc>
          <w:tcPr>
            <w:tcW w:w="2531"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执行标准</w:t>
            </w:r>
          </w:p>
        </w:tc>
        <w:tc>
          <w:tcPr>
            <w:tcW w:w="89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落实</w:t>
            </w:r>
          </w:p>
          <w:p>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985"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大气环境</w:t>
            </w:r>
          </w:p>
        </w:tc>
        <w:tc>
          <w:tcPr>
            <w:tcW w:w="187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挤出发泡工序废气排放口/DA001</w:t>
            </w:r>
          </w:p>
        </w:tc>
        <w:tc>
          <w:tcPr>
            <w:tcW w:w="980" w:type="dxa"/>
            <w:noWrap w:val="0"/>
            <w:vAlign w:val="center"/>
          </w:tcPr>
          <w:p>
            <w:pPr>
              <w:pStyle w:val="133"/>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非甲烷总烃</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集气罩+软帘收集+二级活性炭吸附+15m排气筒</w:t>
            </w:r>
          </w:p>
        </w:tc>
        <w:tc>
          <w:tcPr>
            <w:tcW w:w="2531"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《合成树脂工业污染物排放标准》(GB31572-2015)表5大气污染物特别排放限值</w:t>
            </w:r>
          </w:p>
        </w:tc>
        <w:tc>
          <w:tcPr>
            <w:tcW w:w="895" w:type="dxa"/>
            <w:vMerge w:val="restart"/>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98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p>
        </w:tc>
        <w:tc>
          <w:tcPr>
            <w:tcW w:w="1878"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生产车间无组织废气</w:t>
            </w:r>
          </w:p>
        </w:tc>
        <w:tc>
          <w:tcPr>
            <w:tcW w:w="980" w:type="dxa"/>
            <w:vMerge w:val="restart"/>
            <w:noWrap w:val="0"/>
            <w:vAlign w:val="center"/>
          </w:tcPr>
          <w:p>
            <w:pPr>
              <w:pStyle w:val="133"/>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非甲烷总烃</w:t>
            </w:r>
          </w:p>
        </w:tc>
        <w:tc>
          <w:tcPr>
            <w:tcW w:w="1705" w:type="dxa"/>
            <w:vMerge w:val="restart"/>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w:t>
            </w:r>
          </w:p>
        </w:tc>
        <w:tc>
          <w:tcPr>
            <w:tcW w:w="2531"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《工业企业挥发性有机物排放控制标准》（DB13/2322 -2016）中表2其他企业边界大气污染物浓度限值</w:t>
            </w:r>
          </w:p>
        </w:tc>
        <w:tc>
          <w:tcPr>
            <w:tcW w:w="89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98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highlight w:val="yellow"/>
              </w:rPr>
            </w:pPr>
          </w:p>
        </w:tc>
        <w:tc>
          <w:tcPr>
            <w:tcW w:w="1878"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highlight w:val="yellow"/>
              </w:rPr>
            </w:pPr>
          </w:p>
        </w:tc>
        <w:tc>
          <w:tcPr>
            <w:tcW w:w="980" w:type="dxa"/>
            <w:vMerge w:val="continue"/>
            <w:noWrap w:val="0"/>
            <w:vAlign w:val="center"/>
          </w:tcPr>
          <w:p>
            <w:pPr>
              <w:pStyle w:val="133"/>
              <w:spacing w:line="240" w:lineRule="auto"/>
              <w:rPr>
                <w:rFonts w:hint="default" w:ascii="Times New Roman" w:hAnsi="Times New Roman" w:eastAsia="宋体" w:cs="Times New Roman"/>
                <w:color w:val="000000"/>
                <w:sz w:val="21"/>
                <w:szCs w:val="21"/>
                <w:highlight w:val="yellow"/>
              </w:rPr>
            </w:pPr>
          </w:p>
        </w:tc>
        <w:tc>
          <w:tcPr>
            <w:tcW w:w="170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highlight w:val="yellow"/>
              </w:rPr>
            </w:pPr>
          </w:p>
        </w:tc>
        <w:tc>
          <w:tcPr>
            <w:tcW w:w="2531"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rPr>
              <w:t>《挥发性有机物无组织排放控制标准》（GB37822-2019）中表A.1厂区内VOCs无组织排放限值要求</w:t>
            </w:r>
          </w:p>
        </w:tc>
        <w:tc>
          <w:tcPr>
            <w:tcW w:w="89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85"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地表水环境</w:t>
            </w:r>
          </w:p>
        </w:tc>
        <w:tc>
          <w:tcPr>
            <w:tcW w:w="187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生活盥洗废水</w:t>
            </w:r>
          </w:p>
        </w:tc>
        <w:tc>
          <w:tcPr>
            <w:tcW w:w="980"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COD</w:t>
            </w:r>
          </w:p>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SS</w:t>
            </w:r>
          </w:p>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氨氮</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厂区泼洒抑尘，依托所在厂区设防渗旱厕，定期清掏</w:t>
            </w:r>
          </w:p>
        </w:tc>
        <w:tc>
          <w:tcPr>
            <w:tcW w:w="2531"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不外排</w:t>
            </w:r>
          </w:p>
        </w:tc>
        <w:tc>
          <w:tcPr>
            <w:tcW w:w="895"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98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p>
        </w:tc>
        <w:tc>
          <w:tcPr>
            <w:tcW w:w="187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冷却用水</w:t>
            </w:r>
          </w:p>
        </w:tc>
        <w:tc>
          <w:tcPr>
            <w:tcW w:w="980" w:type="dxa"/>
            <w:noWrap w:val="0"/>
            <w:vAlign w:val="center"/>
          </w:tcPr>
          <w:p>
            <w:pPr>
              <w:adjustRightInd w:val="0"/>
              <w:snapToGrid w:val="0"/>
              <w:spacing w:line="240" w:lineRule="auto"/>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循环使用，不外排</w:t>
            </w:r>
          </w:p>
        </w:tc>
        <w:tc>
          <w:tcPr>
            <w:tcW w:w="2531"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不外排</w:t>
            </w:r>
          </w:p>
        </w:tc>
        <w:tc>
          <w:tcPr>
            <w:tcW w:w="895"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98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声环境</w:t>
            </w:r>
          </w:p>
        </w:tc>
        <w:tc>
          <w:tcPr>
            <w:tcW w:w="1878"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设备噪声</w:t>
            </w:r>
          </w:p>
        </w:tc>
        <w:tc>
          <w:tcPr>
            <w:tcW w:w="980"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等效连续</w:t>
            </w:r>
          </w:p>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A声级</w:t>
            </w:r>
          </w:p>
        </w:tc>
        <w:tc>
          <w:tcPr>
            <w:tcW w:w="170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基础减振</w:t>
            </w:r>
          </w:p>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厂房隔声</w:t>
            </w:r>
          </w:p>
        </w:tc>
        <w:tc>
          <w:tcPr>
            <w:tcW w:w="2531"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《工业企业厂界环境噪声排放标准》(GB12348-2008)中2类及4类功能区标准</w:t>
            </w:r>
          </w:p>
        </w:tc>
        <w:tc>
          <w:tcPr>
            <w:tcW w:w="89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98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固体废物</w:t>
            </w:r>
          </w:p>
        </w:tc>
        <w:tc>
          <w:tcPr>
            <w:tcW w:w="7094" w:type="dxa"/>
            <w:gridSpan w:val="4"/>
            <w:noWrap w:val="0"/>
            <w:vAlign w:val="center"/>
          </w:tcPr>
          <w:p>
            <w:pPr>
              <w:adjustRightInd w:val="0"/>
              <w:snapToGrid w:val="0"/>
              <w:spacing w:line="24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一般工业固体废物：废包装袋收集后外售综合利用；塑料边角料收集后回用于生产。</w:t>
            </w:r>
          </w:p>
          <w:p>
            <w:pPr>
              <w:adjustRightInd w:val="0"/>
              <w:snapToGrid w:val="0"/>
              <w:spacing w:line="24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危险废物：废活性炭危废间暂存，定期交有资质单位处置；</w:t>
            </w:r>
          </w:p>
          <w:p>
            <w:pPr>
              <w:adjustRightInd w:val="0"/>
              <w:snapToGrid w:val="0"/>
              <w:spacing w:line="24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生活垃圾：收集后交环卫部门清运处置。 </w:t>
            </w:r>
          </w:p>
          <w:p>
            <w:pPr>
              <w:adjustRightInd w:val="0"/>
              <w:snapToGrid w:val="0"/>
              <w:spacing w:line="240" w:lineRule="auto"/>
              <w:ind w:firstLine="420" w:firstLineChars="200"/>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 xml:space="preserve">危废间建设应符合防风、防雨、防晒的要求，按照《危险废物贮存污染控制标准》(GB18597-2001)的相关要求，采取相应防渗措施。按照《环境保护图形标志 固体废物贮存(处置)场》(GB15562.2-1995)中4.1危险废物图形符号类型，4.2标志的形状及颜色设置警示标志，按第5条相关要求进行标志牌的使用与维护。盛装危险废物的容器上必须粘贴符合《危险废物贮存污染控制标准》(GB18597-2001)附录A所示的标签。建设单位须做好危险废物产生、收集、处置情况的记录，由专人进行管理明确责任，做到双人双锁。 </w:t>
            </w:r>
          </w:p>
        </w:tc>
        <w:tc>
          <w:tcPr>
            <w:tcW w:w="89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98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土壤及地下水污染防治措施</w:t>
            </w:r>
          </w:p>
        </w:tc>
        <w:tc>
          <w:tcPr>
            <w:tcW w:w="7094" w:type="dxa"/>
            <w:gridSpan w:val="4"/>
            <w:noWrap w:val="0"/>
            <w:vAlign w:val="center"/>
          </w:tcPr>
          <w:p>
            <w:pPr>
              <w:adjustRightInd w:val="0"/>
              <w:snapToGrid w:val="0"/>
              <w:spacing w:line="24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①重点防渗区：危废暂存间底部进行防渗处理，加强防渗措施日常维护，达到渗透系数≤10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cm/s的要求。</w:t>
            </w:r>
          </w:p>
          <w:p>
            <w:pPr>
              <w:adjustRightInd w:val="0"/>
              <w:snapToGrid w:val="0"/>
              <w:spacing w:line="240" w:lineRule="auto"/>
              <w:ind w:firstLine="420" w:firstLineChars="20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②一般防渗区：生产车间采用地面硬化处理，加强防渗措施日常维护，达到渗透系数≤10</w:t>
            </w:r>
            <w:r>
              <w:rPr>
                <w:rFonts w:hint="default" w:ascii="Times New Roman" w:hAnsi="Times New Roman" w:eastAsia="宋体" w:cs="Times New Roman"/>
                <w:sz w:val="21"/>
                <w:szCs w:val="21"/>
                <w:vertAlign w:val="superscript"/>
              </w:rPr>
              <w:t>-7</w:t>
            </w:r>
            <w:r>
              <w:rPr>
                <w:rFonts w:hint="default" w:ascii="Times New Roman" w:hAnsi="Times New Roman" w:eastAsia="宋体" w:cs="Times New Roman"/>
                <w:sz w:val="21"/>
                <w:szCs w:val="21"/>
              </w:rPr>
              <w:t>cm/s的要求</w:t>
            </w:r>
            <w:r>
              <w:rPr>
                <w:rFonts w:hint="default" w:ascii="Times New Roman" w:hAnsi="Times New Roman" w:eastAsia="宋体" w:cs="Times New Roman"/>
                <w:color w:val="000000"/>
                <w:sz w:val="21"/>
                <w:szCs w:val="21"/>
              </w:rPr>
              <w:t>。</w:t>
            </w:r>
          </w:p>
        </w:tc>
        <w:tc>
          <w:tcPr>
            <w:tcW w:w="895" w:type="dxa"/>
            <w:noWrap w:val="0"/>
            <w:vAlign w:val="center"/>
          </w:tcPr>
          <w:p>
            <w:pPr>
              <w:adjustRightInd w:val="0"/>
              <w:snapToGrid w:val="0"/>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已做硬化及防渗处理</w:t>
            </w:r>
          </w:p>
        </w:tc>
      </w:tr>
    </w:tbl>
    <w:p>
      <w:pPr>
        <w:pStyle w:val="5"/>
        <w:rPr>
          <w:rFonts w:hint="default" w:ascii="Times New Roman" w:hAnsi="Times New Roman" w:cs="Times New Roman"/>
        </w:rPr>
      </w:pPr>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河间市束城镇束城村</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项目冷却用水循环使用不外排，定期补充新鲜水；项目职工生活盥洗废水，直接用于厂区泼洒抑尘，所在厂区建设有防渗旱厕，由当地农民定期清掏用作农肥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②废气──项目挤出发泡工序产生有机废气，污染物以非甲烷总烃计。项目于设备上方设置集气罩+软帘，废气经收集后引入1套二级活性炭吸附装置处理，处理后废气由1根15m高排气筒排放</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5"/>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6"/>
        <w:spacing w:line="440" w:lineRule="atLeast"/>
        <w:rPr>
          <w:rFonts w:hint="default" w:ascii="Times New Roman" w:hAnsi="Times New Roman" w:cs="Times New Roman"/>
        </w:rPr>
      </w:pPr>
      <w:bookmarkStart w:id="42" w:name="_Toc496979024"/>
      <w:bookmarkStart w:id="43" w:name="_Toc497001461"/>
      <w:bookmarkStart w:id="44" w:name="_Toc504325346"/>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项目冷却用水循环使用不外排，定期补充新鲜水。</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项目职工生活盥洗废水，直接用于厂区泼洒抑尘，所在厂区建设有防渗旱厕，由当地农民定期清掏用作农肥。</w:t>
      </w:r>
    </w:p>
    <w:p>
      <w:pPr>
        <w:pStyle w:val="6"/>
        <w:rPr>
          <w:rFonts w:hint="default" w:ascii="Times New Roman" w:hAnsi="Times New Roman" w:cs="Times New Roman"/>
        </w:rPr>
      </w:pPr>
      <w:bookmarkStart w:id="45" w:name="_Toc496979025"/>
      <w:bookmarkStart w:id="46" w:name="_Toc504325347"/>
      <w:bookmarkStart w:id="47" w:name="_Toc497001462"/>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项目挤出发泡工序产生有机废气，污染物以非甲烷总烃计。项目于设备上方设置集气罩+软帘，废气经收集后引入1套二级活性炭吸附装置处理，处理后废气由1根15m高排气筒排放</w:t>
      </w:r>
      <w:r>
        <w:rPr>
          <w:rFonts w:hint="default"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8" w:name="_Toc496979026"/>
      <w:bookmarkStart w:id="49" w:name="_Toc497001463"/>
      <w:bookmarkStart w:id="50" w:name="_Toc504325348"/>
      <w:r>
        <w:rPr>
          <w:rFonts w:hint="default" w:ascii="Times New Roman" w:hAnsi="Times New Roman" w:cs="Times New Roman"/>
        </w:rPr>
        <w:t>3.2.3噪声</w:t>
      </w:r>
      <w:bookmarkEnd w:id="48"/>
      <w:bookmarkEnd w:id="49"/>
      <w:bookmarkEnd w:id="50"/>
    </w:p>
    <w:p>
      <w:pPr>
        <w:pStyle w:val="60"/>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项目主要噪声源为搅拌机、挤出机、牵引机、裁切机、打包机、风机等生产设备，本项目采取基础减振，厂房隔声等降噪措施，经厂房隔声后，排入周边环境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2" w:name="_Toc497001464"/>
      <w:bookmarkStart w:id="53" w:name="_Toc504325349"/>
      <w:r>
        <w:rPr>
          <w:rFonts w:hint="default" w:ascii="Times New Roman" w:hAnsi="Times New Roman" w:cs="Times New Roman"/>
        </w:rPr>
        <w:t>3.2.4固体废物</w:t>
      </w:r>
      <w:bookmarkEnd w:id="51"/>
      <w:bookmarkEnd w:id="52"/>
      <w:bookmarkEnd w:id="53"/>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项目产生固体废物包括原料废包装袋，塑料边角料，有机废气治理设施产生的废活性炭，职工生活垃圾。</w:t>
      </w:r>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项目原料废包装袋收集后外售综合利用；塑料边角料收集后回用于生产。</w:t>
      </w:r>
    </w:p>
    <w:p>
      <w:pPr>
        <w:pStyle w:val="39"/>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废气处理产生的废活性炭收集后暂存于危废间，定期交有资质单位处置。</w:t>
      </w:r>
    </w:p>
    <w:p>
      <w:pPr>
        <w:pStyle w:val="39"/>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项目劳动定员产生的生活垃圾，厂区内设置垃圾桶收集，交于环卫部门清运处置</w:t>
      </w:r>
      <w:r>
        <w:rPr>
          <w:rFonts w:hint="eastAsia" w:ascii="Times New Roman" w:hAnsi="Times New Roman" w:cs="Times New Roman"/>
          <w:spacing w:val="0"/>
          <w:kern w:val="2"/>
          <w:sz w:val="24"/>
          <w:szCs w:val="24"/>
          <w:lang w:val="en-US" w:eastAsia="zh-CN" w:bidi="ar-SA"/>
        </w:rPr>
        <w:t>。</w:t>
      </w:r>
    </w:p>
    <w:bookmarkEnd w:id="54"/>
    <w:p>
      <w:pPr>
        <w:pStyle w:val="2"/>
        <w:rPr>
          <w:rFonts w:hint="eastAsia" w:ascii="Times New Roman" w:hAnsi="Times New Roman" w:eastAsia="宋体" w:cs="Times New Roman"/>
          <w:sz w:val="24"/>
          <w:szCs w:val="24"/>
          <w:lang w:eastAsia="zh-CN"/>
        </w:rPr>
      </w:pPr>
      <w:bookmarkStart w:id="55"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504325353"/>
      <w:bookmarkStart w:id="58" w:name="_Toc497001467"/>
      <w:bookmarkStart w:id="59" w:name="_Toc496979030"/>
      <w:r>
        <w:rPr>
          <w:rFonts w:hint="default" w:ascii="Times New Roman" w:hAnsi="Times New Roman" w:cs="Times New Roman"/>
        </w:rPr>
        <w:t>4.1.1主要结论</w:t>
      </w:r>
      <w:bookmarkEnd w:id="57"/>
      <w:bookmarkEnd w:id="58"/>
      <w:bookmarkEnd w:id="59"/>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6979031"/>
      <w:bookmarkStart w:id="61" w:name="_Toc504325354"/>
      <w:bookmarkStart w:id="62" w:name="_Toc497001468"/>
      <w:r>
        <w:rPr>
          <w:rFonts w:hint="default" w:ascii="Times New Roman" w:hAnsi="Times New Roman" w:eastAsia="宋体" w:cs="Times New Roman"/>
          <w:sz w:val="24"/>
          <w:szCs w:val="24"/>
          <w:lang w:val="en-US" w:eastAsia="zh-CN"/>
        </w:rPr>
        <w:t>本项目选址和建设符合国家和地方环境保护政策，项目配套污染防治措施，可实现污染物达标排放，对环境影响较小，在落实环境保护措施监督检查清单和正确稳定运行环保设施措施的前提下，从环境保护角度分析，项目建设可行</w:t>
      </w:r>
      <w:r>
        <w:rPr>
          <w:rFonts w:hint="eastAsia" w:ascii="Times New Roman" w:hAnsi="Times New Roman" w:cs="Times New Roman"/>
          <w:sz w:val="24"/>
          <w:szCs w:val="24"/>
          <w:lang w:val="en-US" w:eastAsia="zh-CN"/>
        </w:rPr>
        <w:t>。</w:t>
      </w:r>
    </w:p>
    <w:bookmarkEnd w:id="60"/>
    <w:bookmarkEnd w:id="61"/>
    <w:bookmarkEnd w:id="62"/>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2022年07月22日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河环表[2022]（07-20）号。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1"/>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河间市仁诚保温材料有限公司</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河间市束城镇束城村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6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挤出发泡工序废气经集气罩+软帘收集十二级活性炭吸附装置处理，非甲烷总烃要达到《合成树脂工业污染物排放标准》（GB31572-2015)表5标准、《工业企业挥发性有机物排放控制标准》（DB13/2322-2016)表2标准，同时满足《挥发性有机物无组织排放控制标准》（GB37822-2019）表A.1无组织特别排放限值。</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废水：生活污水泼洒抑尘或排入厂区防渗早厕，定期清掏；冷却水循环使用，不得外排</w:t>
            </w:r>
            <w:r>
              <w:rPr>
                <w:rFonts w:hint="eastAsia" w:ascii="Times New Roman" w:hAnsi="Times New Roman" w:eastAsia="宋体" w:cs="Times New Roman"/>
                <w:color w:val="000000" w:themeColor="text1"/>
                <w:szCs w:val="21"/>
                <w:lang w:val="zh-CN" w:eastAsia="zh-CN"/>
                <w14:textFill>
                  <w14:solidFill>
                    <w14:schemeClr w14:val="tx1"/>
                  </w14:solidFill>
                </w14:textFill>
              </w:rPr>
              <w:t>。</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2、4类标准要求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5"/>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6"/>
        <w:rPr>
          <w:rFonts w:hint="default" w:ascii="Times New Roman" w:hAnsi="Times New Roman" w:cs="Times New Roman"/>
        </w:rPr>
      </w:pPr>
      <w:bookmarkStart w:id="68" w:name="_Toc496979035"/>
      <w:bookmarkStart w:id="69" w:name="_Toc497001474"/>
      <w:bookmarkStart w:id="70" w:name="_Toc504325359"/>
      <w:r>
        <w:rPr>
          <w:rFonts w:hint="default" w:ascii="Times New Roman" w:hAnsi="Times New Roman" w:cs="Times New Roman"/>
        </w:rPr>
        <w:t>5.1.</w:t>
      </w:r>
      <w:bookmarkEnd w:id="68"/>
      <w:bookmarkEnd w:id="69"/>
      <w:bookmarkStart w:id="71" w:name="_Toc497001475"/>
      <w:bookmarkStart w:id="72"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《合成树脂工业污染物排放标准》（GB 31572-2015）表5大气污染物特别排放限值；《工业企业挥发性有机物排放控制标准》(DB13/2322-2016)表2企业边界大气污染物浓度限值；《挥发性有机物无组织排放控制标准》（GB 37822-2019）表A.1厂区内VOCs无组织特别排放限值。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1"/>
        <w:tblW w:w="8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163"/>
        <w:gridCol w:w="1903"/>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670"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2"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70"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挤出发泡工序废气排气筒出口</w:t>
            </w:r>
          </w:p>
        </w:tc>
        <w:tc>
          <w:tcPr>
            <w:tcW w:w="116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《合成树脂工业污染物排放标准》(GB31572-2015)表5大气污染物特别排放限值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70"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3"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6" w:hRule="atLeast"/>
        </w:trPr>
        <w:tc>
          <w:tcPr>
            <w:tcW w:w="1670"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车间废气</w:t>
            </w:r>
          </w:p>
        </w:tc>
        <w:tc>
          <w:tcPr>
            <w:tcW w:w="1163"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3"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2"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《挥发性有机物无组织排放控制标准》（GB 37822-2019）表A.1厂区内VOC</w:t>
            </w:r>
            <w:r>
              <w:rPr>
                <w:rFonts w:hint="eastAsia" w:ascii="Times New Roman" w:hAnsi="Times New Roman" w:eastAsia="宋体" w:cs="Times New Roman"/>
                <w:b w:val="0"/>
                <w:bCs/>
                <w:sz w:val="21"/>
                <w:szCs w:val="21"/>
                <w:vertAlign w:val="subscript"/>
                <w:lang w:val="en-US" w:eastAsia="zh-CN"/>
              </w:rPr>
              <w:t>S</w:t>
            </w:r>
            <w:r>
              <w:rPr>
                <w:rFonts w:hint="eastAsia" w:ascii="Times New Roman" w:hAnsi="Times New Roman" w:eastAsia="宋体" w:cs="Times New Roman"/>
                <w:b w:val="0"/>
                <w:bCs/>
                <w:sz w:val="21"/>
                <w:szCs w:val="21"/>
                <w:lang w:val="en-US" w:eastAsia="zh-CN"/>
              </w:rPr>
              <w:t>无组织特别排放限值</w:t>
            </w:r>
          </w:p>
        </w:tc>
      </w:tr>
    </w:tbl>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3"/>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3"/>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tcBorders/>
            <w:vAlign w:val="center"/>
          </w:tcPr>
          <w:p>
            <w:pPr>
              <w:spacing w:line="300" w:lineRule="exact"/>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bCs/>
                <w:szCs w:val="21"/>
              </w:rPr>
            </w:pPr>
          </w:p>
        </w:tc>
        <w:tc>
          <w:tcPr>
            <w:tcW w:w="1407" w:type="dxa"/>
            <w:vMerge w:val="restart"/>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1408" w:type="dxa"/>
            <w:vAlign w:val="center"/>
          </w:tcPr>
          <w:p>
            <w:pPr>
              <w:spacing w:line="30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70</w:t>
            </w:r>
          </w:p>
        </w:tc>
        <w:tc>
          <w:tcPr>
            <w:tcW w:w="1568" w:type="dxa"/>
            <w:vMerge w:val="continue"/>
            <w:tcBorders/>
            <w:vAlign w:val="center"/>
          </w:tcPr>
          <w:p>
            <w:pPr>
              <w:spacing w:line="300" w:lineRule="exact"/>
              <w:jc w:val="center"/>
              <w:rPr>
                <w:rFonts w:hint="default"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291" w:type="dxa"/>
            <w:vMerge w:val="continue"/>
            <w:tcBorders/>
            <w:vAlign w:val="center"/>
          </w:tcPr>
          <w:p>
            <w:pPr>
              <w:spacing w:line="300" w:lineRule="exact"/>
              <w:jc w:val="center"/>
              <w:rPr>
                <w:rFonts w:hint="default" w:ascii="Times New Roman" w:hAnsi="Times New Roman" w:eastAsia="宋体" w:cs="Times New Roman"/>
                <w:bCs/>
                <w:szCs w:val="21"/>
              </w:rPr>
            </w:pPr>
          </w:p>
        </w:tc>
        <w:tc>
          <w:tcPr>
            <w:tcW w:w="1407" w:type="dxa"/>
            <w:vMerge w:val="continue"/>
            <w:tcBorders/>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55</w:t>
            </w:r>
          </w:p>
        </w:tc>
        <w:tc>
          <w:tcPr>
            <w:tcW w:w="1568" w:type="dxa"/>
            <w:vMerge w:val="continue"/>
            <w:tcBorders/>
            <w:vAlign w:val="center"/>
          </w:tcPr>
          <w:p>
            <w:pPr>
              <w:spacing w:line="300" w:lineRule="exact"/>
              <w:jc w:val="center"/>
              <w:rPr>
                <w:rFonts w:hint="default" w:ascii="Times New Roman" w:hAnsi="Times New Roman" w:eastAsia="宋体" w:cs="Times New Roman"/>
                <w:bCs/>
                <w:szCs w:val="21"/>
              </w:rPr>
            </w:pPr>
          </w:p>
        </w:tc>
      </w:tr>
      <w:bookmarkEnd w:id="76"/>
      <w:bookmarkEnd w:id="77"/>
    </w:tbl>
    <w:p>
      <w:pPr>
        <w:rPr>
          <w:rFonts w:hint="default" w:ascii="Times New Roman" w:hAnsi="Times New Roman" w:cs="Times New Roman"/>
        </w:rPr>
      </w:pPr>
      <w:r>
        <w:rPr>
          <w:rFonts w:hint="default" w:ascii="Times New Roman" w:hAnsi="Times New Roman" w:cs="Times New Roman"/>
        </w:rPr>
        <w:br w:type="page"/>
      </w:r>
    </w:p>
    <w:p>
      <w:pPr>
        <w:pStyle w:val="5"/>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项目污染物核定排放总量控制指标为化学需氧量：0t/a、氨氮：0t/a、二氧化硫：0t/a、氮氧化物：0t/a；特征污染物总量控制建议指标为：非甲烷总烃：4.32t/a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9"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2023年03月18日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2023年03月19日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398"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挤出发泡工序</w:t>
            </w:r>
            <w:r>
              <w:rPr>
                <w:rFonts w:hint="eastAsia" w:ascii="Times New Roman" w:hAnsi="Times New Roman" w:eastAsia="宋体" w:cs="Times New Roman"/>
                <w:kern w:val="0"/>
                <w:szCs w:val="21"/>
              </w:rPr>
              <w:t>废气排气筒</w:t>
            </w:r>
            <w:r>
              <w:rPr>
                <w:rFonts w:hint="eastAsia" w:ascii="Times New Roman" w:hAnsi="Times New Roman" w:eastAsia="宋体" w:cs="Times New Roman"/>
                <w:kern w:val="0"/>
                <w:szCs w:val="21"/>
                <w:lang w:eastAsia="zh-CN"/>
              </w:rPr>
              <w:t>进口</w:t>
            </w:r>
          </w:p>
        </w:tc>
        <w:tc>
          <w:tcPr>
            <w:tcW w:w="2140" w:type="dxa"/>
            <w:vAlign w:val="center"/>
          </w:tcPr>
          <w:p>
            <w:pPr>
              <w:spacing w:line="240" w:lineRule="auto"/>
              <w:ind w:right="139" w:rightChars="66"/>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挤出发泡工序</w:t>
            </w:r>
            <w:r>
              <w:rPr>
                <w:rFonts w:hint="eastAsia" w:ascii="Times New Roman" w:hAnsi="Times New Roman" w:eastAsia="宋体" w:cs="Times New Roman"/>
                <w:kern w:val="0"/>
                <w:szCs w:val="21"/>
              </w:rPr>
              <w:t>废气排气筒出口</w:t>
            </w:r>
          </w:p>
        </w:tc>
        <w:tc>
          <w:tcPr>
            <w:tcW w:w="2140" w:type="dxa"/>
            <w:vAlign w:val="center"/>
          </w:tcPr>
          <w:p>
            <w:pPr>
              <w:snapToGrid w:val="0"/>
              <w:spacing w:line="220" w:lineRule="exact"/>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厂界外下风向浓度最高点设3个监控点，生产车间门口外1m处设1个检测点位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6"/>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jc w:val="center"/>
        </w:trPr>
        <w:tc>
          <w:tcPr>
            <w:tcW w:w="1362" w:type="dxa"/>
            <w:tcBorders>
              <w:tl2br w:val="nil"/>
              <w:tr2bl w:val="nil"/>
            </w:tcBorders>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rPr>
              <w:t>非甲烷总烃</w:t>
            </w:r>
          </w:p>
        </w:tc>
        <w:tc>
          <w:tcPr>
            <w:tcW w:w="2869" w:type="dxa"/>
            <w:tcBorders>
              <w:tl2br w:val="nil"/>
              <w:tr2bl w:val="nil"/>
            </w:tcBorders>
            <w:vAlign w:val="center"/>
          </w:tcPr>
          <w:p>
            <w:pPr>
              <w:pStyle w:val="2"/>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总烃、甲烷和非甲烷总烃的测定 气相色谱法》</w:t>
            </w:r>
          </w:p>
          <w:p>
            <w:pPr>
              <w:pStyle w:val="2"/>
              <w:snapToGrid w:val="0"/>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38-2017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0.07mg/m</w:t>
            </w:r>
            <w:r>
              <w:rPr>
                <w:rFonts w:hint="default" w:ascii="Times New Roman" w:hAnsi="Times New Roman" w:eastAsia="宋体" w:cs="Times New Roman"/>
                <w:sz w:val="21"/>
                <w:szCs w:val="21"/>
                <w:vertAlign w:val="superscript"/>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YQ3000-C全自动烟尘（气）测试仪（YQ 029-03）</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LB-8L真空箱气袋采样器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（YQ 045-04）</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GC-7820惠分气相色谱仪</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（YQ 002-03）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1272" w:type="dxa"/>
            <w:tcBorders>
              <w:tl2br w:val="nil"/>
              <w:tr2bl w:val="nil"/>
            </w:tcBorders>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rPr>
              <w:t>非甲烷总烃</w:t>
            </w:r>
          </w:p>
        </w:tc>
        <w:tc>
          <w:tcPr>
            <w:tcW w:w="2667" w:type="dxa"/>
            <w:tcBorders>
              <w:tl2br w:val="nil"/>
              <w:tr2bl w:val="nil"/>
            </w:tcBorders>
            <w:vAlign w:val="center"/>
          </w:tcPr>
          <w:p>
            <w:pPr>
              <w:pStyle w:val="2"/>
              <w:snapToGrid w:val="0"/>
              <w:spacing w:line="240" w:lineRule="exac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总烃、甲烷和非甲烷总烃的测定 直接进样-气相色谱法》</w:t>
            </w:r>
          </w:p>
          <w:p>
            <w:pPr>
              <w:pStyle w:val="2"/>
              <w:snapToGrid w:val="0"/>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604-2017</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0.07mg/m</w:t>
            </w:r>
            <w:r>
              <w:rPr>
                <w:rFonts w:hint="default" w:ascii="Times New Roman" w:hAnsi="Times New Roman" w:eastAsia="宋体" w:cs="Times New Roman"/>
                <w:kern w:val="0"/>
                <w:sz w:val="21"/>
                <w:szCs w:val="21"/>
                <w:vertAlign w:val="superscript"/>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JF-2022真空箱气袋采样器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（YQ 045-06）</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（YQ 048-03）</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DEM6轻便三杯风向风速表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（YQ 038-04）</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GC-7820惠分气相色谱仪</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（YQ 002-03）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1"/>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2" w:hRule="exact"/>
          <w:jc w:val="center"/>
        </w:trPr>
        <w:tc>
          <w:tcPr>
            <w:tcW w:w="1134" w:type="dxa"/>
            <w:tcBorders>
              <w:top w:val="single" w:color="auto" w:sz="4" w:space="0"/>
              <w:right w:val="single" w:color="auto" w:sz="4" w:space="0"/>
            </w:tcBorders>
            <w:vAlign w:val="center"/>
          </w:tcPr>
          <w:p>
            <w:pPr>
              <w:snapToGrid w:val="0"/>
              <w:spacing w:line="220" w:lineRule="exact"/>
              <w:jc w:val="center"/>
              <w:rPr>
                <w:rFonts w:hint="default" w:ascii="Times New Roman" w:hAnsi="Times New Roman" w:eastAsia="宋体" w:cs="Times New Roman"/>
                <w:kern w:val="28"/>
                <w:sz w:val="21"/>
                <w:szCs w:val="21"/>
              </w:rPr>
            </w:pPr>
            <w:r>
              <w:rPr>
                <w:rFonts w:hint="default" w:ascii="Times New Roman" w:hAnsi="Times New Roman" w:eastAsia="宋体" w:cs="Times New Roman"/>
                <w:sz w:val="21"/>
                <w:szCs w:val="21"/>
              </w:rPr>
              <w:t>工业企业</w:t>
            </w:r>
            <w:r>
              <w:rPr>
                <w:rFonts w:hint="default" w:ascii="Times New Roman" w:hAnsi="Times New Roman" w:eastAsia="宋体" w:cs="Times New Roman"/>
                <w:kern w:val="28"/>
                <w:sz w:val="21"/>
                <w:szCs w:val="21"/>
              </w:rPr>
              <w:t>厂界</w:t>
            </w:r>
          </w:p>
          <w:p>
            <w:pPr>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8"/>
                <w:sz w:val="21"/>
                <w:szCs w:val="21"/>
              </w:rPr>
              <w:t>环境噪声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《工业企业厂界环境噪声排放标准》GB 12348-2008</w:t>
            </w:r>
          </w:p>
        </w:tc>
        <w:tc>
          <w:tcPr>
            <w:tcW w:w="3827" w:type="dxa"/>
            <w:tcBorders>
              <w:top w:val="single" w:color="auto" w:sz="4" w:space="0"/>
              <w:lef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AWA6228</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多功能声级计</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036-01）</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AWA6021A声校准器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036-04）</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DEM6轻便三杯风向风速表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（YQ 038-04）</w:t>
            </w:r>
          </w:p>
        </w:tc>
      </w:tr>
    </w:tbl>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r>
        <w:rPr>
          <w:rFonts w:hint="default" w:ascii="Times New Roman" w:hAnsi="Times New Roman" w:cs="Times New Roman"/>
          <w:b/>
          <w:spacing w:val="0"/>
          <w:sz w:val="28"/>
          <w:szCs w:val="28"/>
          <w:lang w:eastAsia="zh-CN"/>
        </w:rPr>
        <w:pict>
          <v:shape id="_x0000_s1202" o:spid="_x0000_s1202" o:spt="75" type="#_x0000_t75" style="position:absolute;left:0pt;margin-left:219.5pt;margin-top:13.9pt;height:283.1pt;width:217.85pt;z-index:-251651072;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202" DrawAspect="Content" ObjectID="_1468075725" r:id="rId9">
            <o:LockedField>false</o:LockedField>
          </o:OLEObject>
        </w:pict>
      </w:r>
      <w:r>
        <w:rPr>
          <w:rFonts w:hint="default" w:ascii="Times New Roman" w:hAnsi="Times New Roman" w:cs="Times New Roman"/>
          <w:b/>
          <w:spacing w:val="0"/>
          <w:sz w:val="28"/>
          <w:szCs w:val="28"/>
          <w:lang w:eastAsia="zh-CN"/>
        </w:rPr>
        <w:pict>
          <v:shape id="Object 58" o:spid="_x0000_s1203" o:spt="75" type="#_x0000_t75" style="position:absolute;left:0pt;margin-left:-2.65pt;margin-top:15.15pt;height:283.1pt;width:217.85pt;z-index:-251652096;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Object 58"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497001486"/>
      <w:bookmarkStart w:id="91" w:name="_Toc504325371"/>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1"/>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挤出发泡工序</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废气排气筒</w:t>
            </w:r>
            <w:r>
              <w:rPr>
                <w:rFonts w:hint="default" w:ascii="Times New Roman" w:hAnsi="Times New Roman" w:eastAsia="宋体" w:cs="Times New Roman"/>
                <w:sz w:val="21"/>
                <w:szCs w:val="21"/>
                <w:lang w:eastAsia="zh-CN"/>
              </w:rPr>
              <w:t>进口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0"/>
                <w:sz w:val="21"/>
                <w:szCs w:val="21"/>
                <w:lang w:eastAsia="zh-CN"/>
              </w:rPr>
              <w:t>2023.03.18</w:t>
            </w:r>
          </w:p>
        </w:tc>
        <w:tc>
          <w:tcPr>
            <w:tcW w:w="1969"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3611</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3595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3637</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max(D3:F3)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3637</w:t>
            </w:r>
            <w:r>
              <w:rPr>
                <w:rFonts w:hint="default" w:ascii="Times New Roman" w:hAnsi="Times New Roman" w:eastAsia="宋体" w:cs="Times New Roman"/>
                <w:kern w:val="0"/>
                <w:sz w:val="21"/>
                <w:szCs w:val="21"/>
                <w:lang w:val="en-US" w:eastAsia="zh-CN" w:bidi="ar"/>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非甲烷总烃浓度</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5.43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5.62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5.29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max(D4:F4)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5.62</w:t>
            </w:r>
            <w:r>
              <w:rPr>
                <w:rFonts w:hint="default" w:ascii="Times New Roman" w:hAnsi="Times New Roman" w:eastAsia="宋体" w:cs="Times New Roman"/>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挤出发泡工序</w:t>
            </w:r>
          </w:p>
          <w:p>
            <w:pPr>
              <w:snapToGrid w:val="0"/>
              <w:spacing w:line="22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sz w:val="21"/>
                <w:szCs w:val="21"/>
              </w:rPr>
              <w:t>废气排气筒</w:t>
            </w:r>
            <w:r>
              <w:rPr>
                <w:rFonts w:hint="default" w:ascii="Times New Roman" w:hAnsi="Times New Roman" w:eastAsia="宋体" w:cs="Times New Roman"/>
                <w:color w:val="auto"/>
                <w:kern w:val="0"/>
                <w:sz w:val="21"/>
                <w:szCs w:val="21"/>
                <w:lang w:eastAsia="zh-CN"/>
              </w:rPr>
              <w:t>出口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0"/>
                <w:sz w:val="21"/>
                <w:szCs w:val="21"/>
                <w:lang w:eastAsia="zh-CN"/>
              </w:rPr>
              <w:t>2023.03.18</w:t>
            </w:r>
          </w:p>
        </w:tc>
        <w:tc>
          <w:tcPr>
            <w:tcW w:w="1969" w:type="dxa"/>
            <w:vAlign w:val="center"/>
          </w:tcPr>
          <w:p>
            <w:pPr>
              <w:snapToGrid w:val="0"/>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3723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3739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3772</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 max(D5:F5) \* MERGEFORMAT </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3772</w:t>
            </w:r>
            <w:r>
              <w:rPr>
                <w:rFonts w:hint="default" w:ascii="Times New Roman" w:hAnsi="Times New Roman" w:eastAsia="宋体" w:cs="Times New Roman"/>
                <w:kern w:val="2"/>
                <w:sz w:val="21"/>
                <w:szCs w:val="21"/>
                <w:lang w:val="en-US" w:eastAsia="zh-CN" w:bidi="ar-SA"/>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非甲烷总烃</w:t>
            </w:r>
            <w:r>
              <w:rPr>
                <w:rFonts w:hint="default" w:ascii="Times New Roman" w:hAnsi="Times New Roman" w:eastAsia="宋体" w:cs="Times New Roman"/>
                <w:color w:val="auto"/>
                <w:kern w:val="0"/>
                <w:sz w:val="21"/>
                <w:szCs w:val="21"/>
                <w:lang w:eastAsia="zh-CN"/>
              </w:rPr>
              <w:t>排放</w:t>
            </w:r>
            <w:r>
              <w:rPr>
                <w:rFonts w:hint="default" w:ascii="Times New Roman" w:hAnsi="Times New Roman" w:eastAsia="宋体" w:cs="Times New Roman"/>
                <w:color w:val="auto"/>
                <w:kern w:val="0"/>
                <w:sz w:val="21"/>
                <w:szCs w:val="21"/>
              </w:rPr>
              <w:t>浓度</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3.41</w:t>
            </w:r>
          </w:p>
        </w:tc>
        <w:tc>
          <w:tcPr>
            <w:tcW w:w="679"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3.69</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3.54</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max(D6:F6)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3.69</w:t>
            </w:r>
            <w:r>
              <w:rPr>
                <w:rFonts w:hint="default" w:ascii="Times New Roman" w:hAnsi="Times New Roman" w:eastAsia="宋体" w:cs="Times New Roman"/>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pStyle w:val="2"/>
              <w:ind w:left="0" w:leftChars="0" w:firstLine="0" w:firstLineChars="0"/>
              <w:jc w:val="center"/>
              <w:rPr>
                <w:rFonts w:hint="default" w:ascii="Times New Roman" w:hAnsi="Times New Roman" w:eastAsia="宋体" w:cs="Times New Roman"/>
                <w:sz w:val="21"/>
                <w:szCs w:val="21"/>
                <w:lang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32.5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挤出发泡工序</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废气排气筒</w:t>
            </w:r>
            <w:r>
              <w:rPr>
                <w:rFonts w:hint="default" w:ascii="Times New Roman" w:hAnsi="Times New Roman" w:eastAsia="宋体" w:cs="Times New Roman"/>
                <w:sz w:val="21"/>
                <w:szCs w:val="21"/>
                <w:lang w:eastAsia="zh-CN"/>
              </w:rPr>
              <w:t>进口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0"/>
                <w:sz w:val="21"/>
                <w:szCs w:val="21"/>
                <w:lang w:eastAsia="zh-CN"/>
              </w:rPr>
              <w:t>2023.03.19</w:t>
            </w:r>
          </w:p>
        </w:tc>
        <w:tc>
          <w:tcPr>
            <w:tcW w:w="1969" w:type="dxa"/>
            <w:vAlign w:val="center"/>
          </w:tcPr>
          <w:p>
            <w:pPr>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3634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3600</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3659</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max(D8:F8)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3659</w:t>
            </w:r>
            <w:r>
              <w:rPr>
                <w:rFonts w:hint="default" w:ascii="Times New Roman" w:hAnsi="Times New Roman" w:eastAsia="宋体" w:cs="Times New Roman"/>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sz w:val="21"/>
                <w:szCs w:val="21"/>
              </w:rPr>
              <w:t>非甲烷总烃浓度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5.27</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5.14</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5.48</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max(D9:F9)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5.48</w:t>
            </w:r>
            <w:r>
              <w:rPr>
                <w:rFonts w:hint="default" w:ascii="Times New Roman" w:hAnsi="Times New Roman" w:eastAsia="宋体" w:cs="Times New Roman"/>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挤出发泡工序</w:t>
            </w:r>
          </w:p>
          <w:p>
            <w:pPr>
              <w:snapToGrid w:val="0"/>
              <w:spacing w:line="220" w:lineRule="exact"/>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sz w:val="21"/>
                <w:szCs w:val="21"/>
              </w:rPr>
              <w:t>废气排气筒</w:t>
            </w:r>
            <w:r>
              <w:rPr>
                <w:rFonts w:hint="default" w:ascii="Times New Roman" w:hAnsi="Times New Roman" w:eastAsia="宋体" w:cs="Times New Roman"/>
                <w:color w:val="auto"/>
                <w:kern w:val="0"/>
                <w:sz w:val="21"/>
                <w:szCs w:val="21"/>
                <w:lang w:eastAsia="zh-CN"/>
              </w:rPr>
              <w:t>出口</w:t>
            </w:r>
          </w:p>
          <w:p>
            <w:pPr>
              <w:snapToGrid w:val="0"/>
              <w:spacing w:line="2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0"/>
                <w:sz w:val="21"/>
                <w:szCs w:val="21"/>
                <w:lang w:eastAsia="zh-CN"/>
              </w:rPr>
              <w:t>2023.03.19</w:t>
            </w:r>
          </w:p>
        </w:tc>
        <w:tc>
          <w:tcPr>
            <w:tcW w:w="1969" w:type="dxa"/>
            <w:vAlign w:val="center"/>
          </w:tcPr>
          <w:p>
            <w:pPr>
              <w:snapToGrid w:val="0"/>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标干流量</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3745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3712</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3770</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max(D10:F10)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3770</w:t>
            </w:r>
            <w:r>
              <w:rPr>
                <w:rFonts w:hint="default" w:ascii="Times New Roman" w:hAnsi="Times New Roman" w:eastAsia="宋体" w:cs="Times New Roman"/>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snapToGrid w:val="0"/>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非甲烷总烃</w:t>
            </w:r>
            <w:r>
              <w:rPr>
                <w:rFonts w:hint="default" w:ascii="Times New Roman" w:hAnsi="Times New Roman" w:eastAsia="宋体" w:cs="Times New Roman"/>
                <w:color w:val="auto"/>
                <w:kern w:val="0"/>
                <w:sz w:val="21"/>
                <w:szCs w:val="21"/>
                <w:lang w:eastAsia="zh-CN"/>
              </w:rPr>
              <w:t>排放</w:t>
            </w:r>
            <w:r>
              <w:rPr>
                <w:rFonts w:hint="default" w:ascii="Times New Roman" w:hAnsi="Times New Roman" w:eastAsia="宋体" w:cs="Times New Roman"/>
                <w:color w:val="auto"/>
                <w:kern w:val="0"/>
                <w:sz w:val="21"/>
                <w:szCs w:val="21"/>
              </w:rPr>
              <w:t>浓度</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3.05</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3.21</w:t>
            </w:r>
          </w:p>
        </w:tc>
        <w:tc>
          <w:tcPr>
            <w:tcW w:w="679"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3.36</w:t>
            </w:r>
          </w:p>
        </w:tc>
        <w:tc>
          <w:tcPr>
            <w:tcW w:w="681"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fldChar w:fldCharType="begin"/>
            </w:r>
            <w:r>
              <w:rPr>
                <w:rFonts w:hint="default" w:ascii="Times New Roman" w:hAnsi="Times New Roman" w:eastAsia="宋体" w:cs="Times New Roman"/>
                <w:sz w:val="21"/>
                <w:szCs w:val="21"/>
                <w:lang w:val="en-US" w:eastAsia="zh-CN"/>
              </w:rPr>
              <w:instrText xml:space="preserve"> = max(D11:F11) \* MERGEFORMAT </w:instrText>
            </w:r>
            <w:r>
              <w:rPr>
                <w:rFonts w:hint="default" w:ascii="Times New Roman" w:hAnsi="Times New Roman" w:eastAsia="宋体" w:cs="Times New Roman"/>
                <w:sz w:val="21"/>
                <w:szCs w:val="21"/>
                <w:lang w:val="en-US" w:eastAsia="zh-CN"/>
              </w:rPr>
              <w:fldChar w:fldCharType="separate"/>
            </w:r>
            <w:r>
              <w:rPr>
                <w:rFonts w:hint="default" w:ascii="Times New Roman" w:hAnsi="Times New Roman" w:eastAsia="宋体" w:cs="Times New Roman"/>
                <w:sz w:val="21"/>
                <w:szCs w:val="21"/>
                <w:lang w:val="en-US" w:eastAsia="zh-CN"/>
              </w:rPr>
              <w:t>3.36</w:t>
            </w:r>
            <w:r>
              <w:rPr>
                <w:rFonts w:hint="default" w:ascii="Times New Roman" w:hAnsi="Times New Roman" w:eastAsia="宋体" w:cs="Times New Roman"/>
                <w:sz w:val="21"/>
                <w:szCs w:val="21"/>
                <w:lang w:val="en-US" w:eastAsia="zh-CN"/>
              </w:rPr>
              <w:fldChar w:fldCharType="end"/>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2"/>
                <w:sz w:val="21"/>
                <w:szCs w:val="21"/>
                <w:highlight w:val="none"/>
                <w:lang w:eastAsia="zh-CN"/>
              </w:rPr>
              <w:t>GB 31572-2015</w:t>
            </w:r>
            <w:r>
              <w:rPr>
                <w:rFonts w:hint="default" w:ascii="Times New Roman" w:hAnsi="Times New Roman" w:eastAsia="宋体" w:cs="Times New Roman"/>
                <w:b w:val="0"/>
                <w:bCs/>
                <w:color w:val="auto"/>
                <w:spacing w:val="0"/>
                <w:kern w:val="2"/>
                <w:sz w:val="21"/>
                <w:szCs w:val="21"/>
                <w:lang w:val="en-US" w:eastAsia="zh-CN" w:bidi="ar-SA"/>
              </w:rPr>
              <w:t>表5（60）</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snapToGrid w:val="0"/>
              <w:spacing w:line="22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非甲烷总烃去除效率</w:t>
            </w:r>
          </w:p>
        </w:tc>
        <w:tc>
          <w:tcPr>
            <w:tcW w:w="727" w:type="dxa"/>
            <w:vAlign w:val="center"/>
          </w:tcPr>
          <w:p>
            <w:pPr>
              <w:spacing w:line="2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37.6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7200小时</w:t>
            </w:r>
          </w:p>
        </w:tc>
      </w:tr>
    </w:tbl>
    <w:p>
      <w:pPr>
        <w:rPr>
          <w:rFonts w:hint="default" w:ascii="Times New Roman" w:hAnsi="Times New Roman" w:cs="Times New Roman"/>
        </w:rPr>
      </w:pPr>
      <w:bookmarkStart w:id="92" w:name="_Toc504325372"/>
      <w:bookmarkStart w:id="93" w:name="_Toc503969735"/>
      <w:bookmarkStart w:id="94" w:name="_Toc503681484"/>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497001489"/>
      <w:bookmarkStart w:id="96" w:name="_Toc504325373"/>
      <w:r>
        <w:rPr>
          <w:rFonts w:hint="default" w:ascii="Times New Roman" w:hAnsi="Times New Roman" w:eastAsia="宋体" w:cs="Times New Roman"/>
          <w:b w:val="0"/>
          <w:bCs w:val="0"/>
          <w:sz w:val="24"/>
          <w:szCs w:val="24"/>
        </w:rPr>
        <w:t>表7-</w:t>
      </w:r>
      <w:r>
        <w:rPr>
          <w:rFonts w:hint="eastAsia" w:ascii="Times New Roman" w:hAnsi="Times New Roman" w:eastAsia="宋体" w:cs="Times New Roman"/>
          <w:b w:val="0"/>
          <w:bCs w:val="0"/>
          <w:sz w:val="24"/>
          <w:szCs w:val="24"/>
          <w:lang w:val="en-US" w:eastAsia="zh-CN"/>
        </w:rPr>
        <w:t>2</w:t>
      </w:r>
      <w:r>
        <w:rPr>
          <w:rFonts w:hint="default" w:ascii="Times New Roman" w:hAnsi="Times New Roman" w:eastAsia="宋体" w:cs="Times New Roman"/>
          <w:b w:val="0"/>
          <w:bCs w:val="0"/>
          <w:sz w:val="24"/>
          <w:szCs w:val="24"/>
        </w:rPr>
        <w:t xml:space="preserve"> </w:t>
      </w:r>
      <w:r>
        <w:rPr>
          <w:rFonts w:hint="eastAsia" w:ascii="Times New Roman" w:hAnsi="Times New Roman" w:eastAsia="宋体" w:cs="Times New Roman"/>
          <w:b w:val="0"/>
          <w:bCs w:val="0"/>
          <w:sz w:val="24"/>
          <w:szCs w:val="24"/>
          <w:lang w:val="en-US" w:eastAsia="zh-CN"/>
        </w:rPr>
        <w:t>厂区</w:t>
      </w:r>
      <w:r>
        <w:rPr>
          <w:rFonts w:hint="default" w:ascii="Times New Roman" w:hAnsi="Times New Roman" w:eastAsia="宋体" w:cs="Times New Roman"/>
          <w:b w:val="0"/>
          <w:bCs w:val="0"/>
          <w:sz w:val="24"/>
          <w:szCs w:val="24"/>
        </w:rPr>
        <w:t>无组织检测结果</w:t>
      </w:r>
      <w:r>
        <w:rPr>
          <w:rFonts w:hint="default" w:ascii="Times New Roman" w:hAnsi="Times New Roman" w:eastAsia="宋体" w:cs="Times New Roman"/>
          <w:b w:val="0"/>
          <w:bCs w:val="0"/>
          <w:sz w:val="21"/>
          <w:szCs w:val="21"/>
          <w:lang w:eastAsia="zh-CN"/>
        </w:rPr>
        <w:t>（单位：</w:t>
      </w:r>
      <w:r>
        <w:rPr>
          <w:rFonts w:hint="default" w:ascii="Times New Roman" w:hAnsi="Times New Roman" w:eastAsia="宋体" w:cs="Times New Roman"/>
          <w:b w:val="0"/>
          <w:bCs w:val="0"/>
          <w:sz w:val="21"/>
          <w:szCs w:val="21"/>
        </w:rPr>
        <w:t>mg/m</w:t>
      </w:r>
      <w:r>
        <w:rPr>
          <w:rFonts w:hint="default" w:ascii="Times New Roman" w:hAnsi="Times New Roman" w:eastAsia="宋体" w:cs="Times New Roman"/>
          <w:b w:val="0"/>
          <w:bCs w:val="0"/>
          <w:sz w:val="21"/>
          <w:szCs w:val="21"/>
          <w:vertAlign w:val="superscript"/>
        </w:rPr>
        <w:t>3</w:t>
      </w:r>
      <w:r>
        <w:rPr>
          <w:rFonts w:hint="default" w:ascii="Times New Roman" w:hAnsi="Times New Roman" w:eastAsia="宋体" w:cs="Times New Roman"/>
          <w:b w:val="0"/>
          <w:bCs w:val="0"/>
          <w:sz w:val="21"/>
          <w:szCs w:val="21"/>
          <w:lang w:eastAsia="zh-CN"/>
        </w:rPr>
        <w:t>）</w:t>
      </w:r>
    </w:p>
    <w:tbl>
      <w:tblPr>
        <w:tblStyle w:val="3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8"/>
        <w:gridCol w:w="1325"/>
        <w:gridCol w:w="1021"/>
        <w:gridCol w:w="1021"/>
        <w:gridCol w:w="1021"/>
        <w:gridCol w:w="1021"/>
        <w:gridCol w:w="2197"/>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8"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rPr>
              <w:t>测</w:t>
            </w:r>
            <w:r>
              <w:rPr>
                <w:rFonts w:hint="default" w:ascii="Times New Roman" w:hAnsi="Times New Roman" w:eastAsia="宋体" w:cs="Times New Roman"/>
                <w:spacing w:val="0"/>
                <w:sz w:val="21"/>
                <w:szCs w:val="21"/>
                <w:lang w:val="en-US" w:eastAsia="zh-CN"/>
              </w:rPr>
              <w:t>项目</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spacing w:val="0"/>
                <w:sz w:val="21"/>
                <w:szCs w:val="21"/>
              </w:rPr>
              <w:t>及</w:t>
            </w:r>
            <w:r>
              <w:rPr>
                <w:rFonts w:hint="default" w:ascii="Times New Roman" w:hAnsi="Times New Roman" w:eastAsia="宋体" w:cs="Times New Roman"/>
                <w:spacing w:val="0"/>
                <w:sz w:val="21"/>
                <w:szCs w:val="21"/>
                <w:lang w:val="en-US" w:eastAsia="zh-CN"/>
              </w:rPr>
              <w:t>日期</w:t>
            </w:r>
          </w:p>
        </w:tc>
        <w:tc>
          <w:tcPr>
            <w:tcW w:w="132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rPr>
              <w:t>测</w:t>
            </w:r>
            <w:r>
              <w:rPr>
                <w:rFonts w:hint="default" w:ascii="Times New Roman" w:hAnsi="Times New Roman" w:eastAsia="宋体" w:cs="Times New Roman"/>
                <w:spacing w:val="0"/>
                <w:sz w:val="21"/>
                <w:szCs w:val="21"/>
                <w:lang w:val="en-US" w:eastAsia="zh-CN"/>
              </w:rPr>
              <w:t>点位</w:t>
            </w:r>
          </w:p>
        </w:tc>
        <w:tc>
          <w:tcPr>
            <w:tcW w:w="3063" w:type="dxa"/>
            <w:gridSpan w:val="3"/>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检</w:t>
            </w:r>
            <w:r>
              <w:rPr>
                <w:rFonts w:hint="default" w:ascii="Times New Roman" w:hAnsi="Times New Roman" w:eastAsia="宋体" w:cs="Times New Roman"/>
                <w:spacing w:val="0"/>
                <w:sz w:val="21"/>
                <w:szCs w:val="21"/>
                <w:lang w:val="en-US" w:eastAsia="zh-CN"/>
              </w:rPr>
              <w:t>测结果及频次</w:t>
            </w:r>
          </w:p>
        </w:tc>
        <w:tc>
          <w:tcPr>
            <w:tcW w:w="1021" w:type="dxa"/>
            <w:vMerge w:val="restar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最大值</w:t>
            </w:r>
          </w:p>
        </w:tc>
        <w:tc>
          <w:tcPr>
            <w:tcW w:w="2197"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及标准值</w:t>
            </w:r>
          </w:p>
        </w:tc>
        <w:tc>
          <w:tcPr>
            <w:tcW w:w="60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8"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1</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2</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3</w:t>
            </w:r>
          </w:p>
        </w:tc>
        <w:tc>
          <w:tcPr>
            <w:tcW w:w="1021" w:type="dxa"/>
            <w:vMerge w:val="continue"/>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60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restart"/>
            <w:shd w:val="clear" w:color="auto" w:fill="auto"/>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非甲烷总烃</w:t>
            </w:r>
          </w:p>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eastAsia" w:cs="Times New Roman"/>
                <w:sz w:val="21"/>
                <w:szCs w:val="21"/>
                <w:lang w:eastAsia="zh-CN"/>
              </w:rPr>
              <w:t>2023.03.18</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color w:val="auto"/>
                <w:sz w:val="21"/>
                <w:szCs w:val="21"/>
              </w:rPr>
            </w:pPr>
            <w:r>
              <w:rPr>
                <w:rFonts w:hint="eastAsia"/>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监控点</w:t>
            </w:r>
            <w:r>
              <w:rPr>
                <w:rFonts w:hint="eastAsia"/>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0.83</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1.03</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0.99</w:t>
            </w:r>
          </w:p>
        </w:tc>
        <w:tc>
          <w:tcPr>
            <w:tcW w:w="1021" w:type="dxa"/>
            <w:vMerge w:val="restar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1.07</w:t>
            </w:r>
          </w:p>
        </w:tc>
        <w:tc>
          <w:tcPr>
            <w:tcW w:w="219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pacing w:val="0"/>
                <w:kern w:val="2"/>
                <w:sz w:val="21"/>
                <w:szCs w:val="21"/>
                <w:lang w:val="en-US" w:eastAsia="zh-CN" w:bidi="ar-SA"/>
              </w:rPr>
              <w:t>DB13/2322-2016表2（2.0）</w:t>
            </w:r>
          </w:p>
        </w:tc>
        <w:tc>
          <w:tcPr>
            <w:tcW w:w="60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color w:val="auto"/>
                <w:sz w:val="21"/>
                <w:szCs w:val="21"/>
              </w:rPr>
            </w:pPr>
            <w:r>
              <w:rPr>
                <w:rFonts w:hint="eastAsia"/>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监控点</w:t>
            </w:r>
            <w:r>
              <w:rPr>
                <w:rFonts w:hint="eastAsia"/>
                <w:color w:val="auto"/>
                <w:sz w:val="21"/>
                <w:szCs w:val="21"/>
                <w:lang w:eastAsia="zh-CN"/>
              </w:rPr>
              <w:t>○</w:t>
            </w:r>
            <w:r>
              <w:rPr>
                <w:rFonts w:hint="default" w:ascii="Times New Roman" w:hAnsi="Times New Roman" w:cs="Times New Roman"/>
                <w:color w:val="auto"/>
                <w:sz w:val="21"/>
                <w:szCs w:val="21"/>
              </w:rPr>
              <w:t>2#</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1.07</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0.91</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0.95</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05" w:type="dxa"/>
            <w:vMerge w:val="continue"/>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color w:val="auto"/>
                <w:sz w:val="21"/>
                <w:szCs w:val="21"/>
              </w:rPr>
            </w:pPr>
            <w:r>
              <w:rPr>
                <w:rFonts w:hint="eastAsia"/>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监控点</w:t>
            </w:r>
            <w:r>
              <w:rPr>
                <w:rFonts w:hint="eastAsia"/>
                <w:color w:val="auto"/>
                <w:sz w:val="21"/>
                <w:szCs w:val="21"/>
                <w:lang w:eastAsia="zh-CN"/>
              </w:rPr>
              <w:t>○</w:t>
            </w:r>
            <w:r>
              <w:rPr>
                <w:rFonts w:hint="default" w:ascii="Times New Roman" w:hAnsi="Times New Roman" w:cs="Times New Roman"/>
                <w:color w:val="auto"/>
                <w:sz w:val="21"/>
                <w:szCs w:val="21"/>
              </w:rPr>
              <w:t>3#</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0.81</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1.04</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0.85</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05" w:type="dxa"/>
            <w:vMerge w:val="continue"/>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color w:val="auto"/>
                <w:sz w:val="21"/>
                <w:szCs w:val="21"/>
              </w:rPr>
            </w:pPr>
            <w:r>
              <w:rPr>
                <w:rFonts w:hint="eastAsia"/>
                <w:color w:val="auto"/>
                <w:sz w:val="21"/>
                <w:szCs w:val="21"/>
                <w:lang w:eastAsia="zh-CN"/>
              </w:rPr>
              <w:t>生产</w:t>
            </w:r>
            <w:r>
              <w:rPr>
                <w:rFonts w:hint="default" w:ascii="Times New Roman" w:hAnsi="Times New Roman" w:cs="Times New Roman"/>
                <w:color w:val="auto"/>
                <w:sz w:val="21"/>
                <w:szCs w:val="21"/>
              </w:rPr>
              <w:t>车间门口外1m</w:t>
            </w:r>
            <w:r>
              <w:rPr>
                <w:rFonts w:hint="eastAsia"/>
                <w:color w:val="auto"/>
                <w:sz w:val="21"/>
                <w:szCs w:val="21"/>
              </w:rPr>
              <w:t>处</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cs="Times New Roman"/>
                <w:color w:val="auto"/>
                <w:sz w:val="21"/>
                <w:szCs w:val="21"/>
              </w:rPr>
              <w:t>#</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1.63</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1.57</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1.79</w:t>
            </w:r>
          </w:p>
        </w:tc>
        <w:tc>
          <w:tcPr>
            <w:tcW w:w="1021"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fldChar w:fldCharType="begin"/>
            </w:r>
            <w:r>
              <w:rPr>
                <w:rFonts w:hint="default" w:ascii="Times New Roman" w:hAnsi="Times New Roman" w:eastAsia="宋体" w:cs="Times New Roman"/>
                <w:b w:val="0"/>
                <w:bCs/>
                <w:color w:val="auto"/>
                <w:spacing w:val="0"/>
                <w:kern w:val="2"/>
                <w:sz w:val="21"/>
                <w:szCs w:val="21"/>
                <w:lang w:val="en-US" w:eastAsia="zh-CN" w:bidi="ar-SA"/>
              </w:rPr>
              <w:instrText xml:space="preserve"> = max(D6:F6) \* MERGEFORMAT </w:instrText>
            </w:r>
            <w:r>
              <w:rPr>
                <w:rFonts w:hint="default" w:ascii="Times New Roman" w:hAnsi="Times New Roman" w:eastAsia="宋体" w:cs="Times New Roman"/>
                <w:b w:val="0"/>
                <w:bCs/>
                <w:color w:val="auto"/>
                <w:spacing w:val="0"/>
                <w:kern w:val="2"/>
                <w:sz w:val="21"/>
                <w:szCs w:val="21"/>
                <w:lang w:val="en-US" w:eastAsia="zh-CN" w:bidi="ar-SA"/>
              </w:rPr>
              <w:fldChar w:fldCharType="separate"/>
            </w:r>
            <w:r>
              <w:rPr>
                <w:rFonts w:hint="default" w:ascii="Times New Roman" w:hAnsi="Times New Roman" w:eastAsia="宋体" w:cs="Times New Roman"/>
                <w:b w:val="0"/>
                <w:bCs/>
                <w:color w:val="auto"/>
                <w:spacing w:val="0"/>
                <w:kern w:val="2"/>
                <w:sz w:val="21"/>
                <w:szCs w:val="21"/>
                <w:lang w:val="en-US" w:eastAsia="zh-CN" w:bidi="ar-SA"/>
              </w:rPr>
              <w:t>1.79</w:t>
            </w:r>
            <w:r>
              <w:rPr>
                <w:rFonts w:hint="default" w:ascii="Times New Roman" w:hAnsi="Times New Roman" w:eastAsia="宋体" w:cs="Times New Roman"/>
                <w:b w:val="0"/>
                <w:bCs/>
                <w:color w:val="auto"/>
                <w:spacing w:val="0"/>
                <w:kern w:val="2"/>
                <w:sz w:val="21"/>
                <w:szCs w:val="21"/>
                <w:lang w:val="en-US" w:eastAsia="zh-CN" w:bidi="ar-SA"/>
              </w:rPr>
              <w:fldChar w:fldCharType="end"/>
            </w:r>
          </w:p>
        </w:tc>
        <w:tc>
          <w:tcPr>
            <w:tcW w:w="219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GB 37822-2019表A.1（6）</w:t>
            </w:r>
          </w:p>
        </w:tc>
        <w:tc>
          <w:tcPr>
            <w:tcW w:w="605"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restart"/>
            <w:shd w:val="clear" w:color="auto" w:fill="auto"/>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非甲烷总烃</w:t>
            </w:r>
          </w:p>
          <w:p>
            <w:pPr>
              <w:pStyle w:val="105"/>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eastAsia="zh-CN"/>
              </w:rPr>
              <w:t>2023.03.19</w:t>
            </w: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color w:val="auto"/>
                <w:sz w:val="21"/>
                <w:szCs w:val="21"/>
              </w:rPr>
            </w:pPr>
            <w:r>
              <w:rPr>
                <w:rFonts w:hint="eastAsia"/>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监控点</w:t>
            </w:r>
            <w:r>
              <w:rPr>
                <w:rFonts w:hint="eastAsia"/>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0.88</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1.07</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0.81</w:t>
            </w:r>
          </w:p>
        </w:tc>
        <w:tc>
          <w:tcPr>
            <w:tcW w:w="1021" w:type="dxa"/>
            <w:vMerge w:val="restar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1.08</w:t>
            </w:r>
          </w:p>
        </w:tc>
        <w:tc>
          <w:tcPr>
            <w:tcW w:w="219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color w:val="auto"/>
                <w:spacing w:val="0"/>
                <w:kern w:val="2"/>
                <w:sz w:val="21"/>
                <w:szCs w:val="21"/>
                <w:lang w:val="en-US" w:eastAsia="zh-CN" w:bidi="ar-SA"/>
              </w:rPr>
              <w:t>DB13/2322-2016表2（2.0）</w:t>
            </w:r>
          </w:p>
        </w:tc>
        <w:tc>
          <w:tcPr>
            <w:tcW w:w="60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color w:val="auto"/>
                <w:spacing w:val="0"/>
                <w:kern w:val="2"/>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color w:val="auto"/>
                <w:sz w:val="21"/>
                <w:szCs w:val="21"/>
              </w:rPr>
            </w:pPr>
            <w:r>
              <w:rPr>
                <w:rFonts w:hint="eastAsia"/>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监控点</w:t>
            </w:r>
            <w:r>
              <w:rPr>
                <w:rFonts w:hint="eastAsia"/>
                <w:color w:val="auto"/>
                <w:sz w:val="21"/>
                <w:szCs w:val="21"/>
                <w:lang w:eastAsia="zh-CN"/>
              </w:rPr>
              <w:t>○</w:t>
            </w:r>
            <w:r>
              <w:rPr>
                <w:rFonts w:hint="default" w:ascii="Times New Roman" w:hAnsi="Times New Roman" w:cs="Times New Roman"/>
                <w:color w:val="auto"/>
                <w:sz w:val="21"/>
                <w:szCs w:val="21"/>
              </w:rPr>
              <w:t>2#</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0.85</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1.02</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1.01</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05"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color w:val="auto"/>
                <w:sz w:val="21"/>
                <w:szCs w:val="21"/>
              </w:rPr>
            </w:pPr>
            <w:r>
              <w:rPr>
                <w:rFonts w:hint="eastAsia"/>
                <w:color w:val="auto"/>
                <w:sz w:val="21"/>
                <w:szCs w:val="21"/>
              </w:rPr>
              <w:t>厂界下风向</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监控点</w:t>
            </w:r>
            <w:r>
              <w:rPr>
                <w:rFonts w:hint="eastAsia"/>
                <w:color w:val="auto"/>
                <w:sz w:val="21"/>
                <w:szCs w:val="21"/>
                <w:lang w:eastAsia="zh-CN"/>
              </w:rPr>
              <w:t>○</w:t>
            </w:r>
            <w:r>
              <w:rPr>
                <w:rFonts w:hint="default" w:ascii="Times New Roman" w:hAnsi="Times New Roman" w:cs="Times New Roman"/>
                <w:color w:val="auto"/>
                <w:sz w:val="21"/>
                <w:szCs w:val="21"/>
              </w:rPr>
              <w:t>3#</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1.08</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0.87</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0.94</w:t>
            </w:r>
          </w:p>
        </w:tc>
        <w:tc>
          <w:tcPr>
            <w:tcW w:w="1021"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2197"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605"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308" w:type="dxa"/>
            <w:vMerge w:val="continue"/>
            <w:shd w:val="clear" w:color="auto" w:fill="auto"/>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107" w:rightChars="-51" w:firstLine="0" w:firstLineChars="0"/>
              <w:jc w:val="center"/>
              <w:textAlignment w:val="auto"/>
              <w:rPr>
                <w:rFonts w:hint="default" w:ascii="Times New Roman" w:hAnsi="Times New Roman" w:eastAsia="宋体" w:cs="Times New Roman"/>
                <w:sz w:val="21"/>
                <w:szCs w:val="21"/>
                <w:lang w:eastAsia="zh-CN"/>
              </w:rPr>
            </w:pPr>
          </w:p>
        </w:tc>
        <w:tc>
          <w:tcPr>
            <w:tcW w:w="1325"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color w:val="auto"/>
                <w:sz w:val="21"/>
                <w:szCs w:val="21"/>
              </w:rPr>
            </w:pPr>
            <w:r>
              <w:rPr>
                <w:rFonts w:hint="eastAsia"/>
                <w:color w:val="auto"/>
                <w:sz w:val="21"/>
                <w:szCs w:val="21"/>
                <w:lang w:eastAsia="zh-CN"/>
              </w:rPr>
              <w:t>生产</w:t>
            </w:r>
            <w:r>
              <w:rPr>
                <w:rFonts w:hint="default" w:ascii="Times New Roman" w:hAnsi="Times New Roman" w:cs="Times New Roman"/>
                <w:color w:val="auto"/>
                <w:sz w:val="21"/>
                <w:szCs w:val="21"/>
              </w:rPr>
              <w:t>车间门口外1m</w:t>
            </w:r>
            <w:r>
              <w:rPr>
                <w:rFonts w:hint="eastAsia"/>
                <w:color w:val="auto"/>
                <w:sz w:val="21"/>
                <w:szCs w:val="21"/>
              </w:rPr>
              <w:t>处</w:t>
            </w:r>
          </w:p>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heme="minorHAnsi" w:hAnsiTheme="minorHAnsi" w:eastAsiaTheme="minorEastAsia" w:cstheme="minorBidi"/>
                <w:color w:val="auto"/>
                <w:kern w:val="2"/>
                <w:sz w:val="21"/>
                <w:szCs w:val="21"/>
                <w:lang w:val="en-US" w:eastAsia="zh-CN" w:bidi="ar-SA"/>
              </w:rPr>
            </w:pPr>
            <w:r>
              <w:rPr>
                <w:rFonts w:hint="eastAsia" w:ascii="宋体" w:hAnsi="宋体" w:eastAsia="宋体" w:cs="宋体"/>
                <w:color w:val="auto"/>
                <w:sz w:val="21"/>
                <w:szCs w:val="21"/>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cs="Times New Roman"/>
                <w:color w:val="auto"/>
                <w:sz w:val="21"/>
                <w:szCs w:val="21"/>
              </w:rPr>
              <w:t>#</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1.91</w:t>
            </w:r>
          </w:p>
        </w:tc>
        <w:tc>
          <w:tcPr>
            <w:tcW w:w="1021"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1.79</w:t>
            </w:r>
          </w:p>
        </w:tc>
        <w:tc>
          <w:tcPr>
            <w:tcW w:w="1021"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eastAsia" w:ascii="Times New Roman" w:hAnsi="Times New Roman" w:eastAsia="宋体" w:cs="Times New Roman"/>
                <w:b w:val="0"/>
                <w:bCs/>
                <w:color w:val="auto"/>
                <w:spacing w:val="0"/>
                <w:kern w:val="2"/>
                <w:sz w:val="21"/>
                <w:szCs w:val="21"/>
                <w:lang w:val="en-US" w:eastAsia="zh-CN" w:bidi="ar-SA"/>
              </w:rPr>
              <w:t>1.64</w:t>
            </w:r>
          </w:p>
        </w:tc>
        <w:tc>
          <w:tcPr>
            <w:tcW w:w="1021"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b w:val="0"/>
                <w:bCs/>
                <w:color w:val="auto"/>
                <w:spacing w:val="0"/>
                <w:kern w:val="2"/>
                <w:sz w:val="21"/>
                <w:szCs w:val="21"/>
                <w:lang w:val="en-US" w:eastAsia="zh-CN" w:bidi="ar-SA"/>
              </w:rPr>
              <w:fldChar w:fldCharType="begin"/>
            </w:r>
            <w:r>
              <w:rPr>
                <w:rFonts w:hint="default" w:ascii="Times New Roman" w:hAnsi="Times New Roman" w:eastAsia="宋体" w:cs="Times New Roman"/>
                <w:b w:val="0"/>
                <w:bCs/>
                <w:color w:val="auto"/>
                <w:spacing w:val="0"/>
                <w:kern w:val="2"/>
                <w:sz w:val="21"/>
                <w:szCs w:val="21"/>
                <w:lang w:val="en-US" w:eastAsia="zh-CN" w:bidi="ar-SA"/>
              </w:rPr>
              <w:instrText xml:space="preserve"> = max(D10:F10) \* MERGEFORMAT </w:instrText>
            </w:r>
            <w:r>
              <w:rPr>
                <w:rFonts w:hint="default" w:ascii="Times New Roman" w:hAnsi="Times New Roman" w:eastAsia="宋体" w:cs="Times New Roman"/>
                <w:b w:val="0"/>
                <w:bCs/>
                <w:color w:val="auto"/>
                <w:spacing w:val="0"/>
                <w:kern w:val="2"/>
                <w:sz w:val="21"/>
                <w:szCs w:val="21"/>
                <w:lang w:val="en-US" w:eastAsia="zh-CN" w:bidi="ar-SA"/>
              </w:rPr>
              <w:fldChar w:fldCharType="separate"/>
            </w:r>
            <w:r>
              <w:rPr>
                <w:rFonts w:hint="default" w:ascii="Times New Roman" w:hAnsi="Times New Roman" w:eastAsia="宋体" w:cs="Times New Roman"/>
                <w:b w:val="0"/>
                <w:bCs/>
                <w:color w:val="auto"/>
                <w:spacing w:val="0"/>
                <w:kern w:val="2"/>
                <w:sz w:val="21"/>
                <w:szCs w:val="21"/>
                <w:lang w:val="en-US" w:eastAsia="zh-CN" w:bidi="ar-SA"/>
              </w:rPr>
              <w:t>1.91</w:t>
            </w:r>
            <w:r>
              <w:rPr>
                <w:rFonts w:hint="default" w:ascii="Times New Roman" w:hAnsi="Times New Roman" w:eastAsia="宋体" w:cs="Times New Roman"/>
                <w:b w:val="0"/>
                <w:bCs/>
                <w:color w:val="auto"/>
                <w:spacing w:val="0"/>
                <w:kern w:val="2"/>
                <w:sz w:val="21"/>
                <w:szCs w:val="21"/>
                <w:lang w:val="en-US" w:eastAsia="zh-CN" w:bidi="ar-SA"/>
              </w:rPr>
              <w:fldChar w:fldCharType="end"/>
            </w:r>
          </w:p>
        </w:tc>
        <w:tc>
          <w:tcPr>
            <w:tcW w:w="219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GB 37822-2019表A.1（6）</w:t>
            </w:r>
          </w:p>
        </w:tc>
        <w:tc>
          <w:tcPr>
            <w:tcW w:w="605" w:type="dxa"/>
            <w:vAlign w:val="center"/>
          </w:tcPr>
          <w:p>
            <w:pPr>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1"/>
        <w:tblpPr w:leftFromText="180" w:rightFromText="180" w:vertAnchor="text" w:tblpXSpec="center" w:tblpY="1"/>
        <w:tblOverlap w:val="never"/>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830"/>
        <w:gridCol w:w="830"/>
        <w:gridCol w:w="830"/>
        <w:gridCol w:w="833"/>
        <w:gridCol w:w="18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714"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监测点位</w:t>
            </w:r>
          </w:p>
        </w:tc>
        <w:tc>
          <w:tcPr>
            <w:tcW w:w="1660" w:type="dxa"/>
            <w:gridSpan w:val="2"/>
            <w:tcBorders>
              <w:tl2br w:val="nil"/>
              <w:tr2bl w:val="nil"/>
            </w:tcBorders>
            <w:vAlign w:val="center"/>
          </w:tcPr>
          <w:p>
            <w:pPr>
              <w:spacing w:line="240" w:lineRule="exact"/>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z w:val="21"/>
                <w:szCs w:val="21"/>
                <w:lang w:val="en-US" w:eastAsia="zh-CN"/>
              </w:rPr>
              <w:t>2023.02.20</w:t>
            </w:r>
          </w:p>
        </w:tc>
        <w:tc>
          <w:tcPr>
            <w:tcW w:w="1663" w:type="dxa"/>
            <w:gridSpan w:val="2"/>
            <w:tcBorders>
              <w:tl2br w:val="nil"/>
              <w:tr2bl w:val="nil"/>
            </w:tcBorders>
            <w:vAlign w:val="center"/>
          </w:tcPr>
          <w:p>
            <w:pPr>
              <w:spacing w:line="240" w:lineRule="exact"/>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z w:val="21"/>
                <w:szCs w:val="21"/>
                <w:lang w:val="en-US" w:eastAsia="zh-CN"/>
              </w:rPr>
              <w:t>2023.02.21</w:t>
            </w:r>
          </w:p>
        </w:tc>
        <w:tc>
          <w:tcPr>
            <w:tcW w:w="1874" w:type="dxa"/>
            <w:vMerge w:val="restart"/>
            <w:tcBorders>
              <w:tl2br w:val="nil"/>
              <w:tr2bl w:val="nil"/>
            </w:tcBorders>
            <w:vAlign w:val="center"/>
          </w:tcPr>
          <w:p>
            <w:pPr>
              <w:spacing w:line="28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及标准值</w:t>
            </w:r>
          </w:p>
        </w:tc>
        <w:tc>
          <w:tcPr>
            <w:tcW w:w="1586"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714" w:type="dxa"/>
            <w:vMerge w:val="continue"/>
            <w:tcBorders>
              <w:tl2br w:val="nil"/>
              <w:tr2bl w:val="nil"/>
            </w:tcBorders>
            <w:vAlign w:val="center"/>
          </w:tcPr>
          <w:p>
            <w:pPr>
              <w:jc w:val="center"/>
              <w:rPr>
                <w:rFonts w:hint="default" w:ascii="Times New Roman" w:hAnsi="Times New Roman" w:eastAsia="宋体" w:cs="Times New Roman"/>
                <w:spacing w:val="0"/>
                <w:sz w:val="21"/>
                <w:szCs w:val="21"/>
              </w:rPr>
            </w:pPr>
          </w:p>
        </w:tc>
        <w:tc>
          <w:tcPr>
            <w:tcW w:w="830" w:type="dxa"/>
            <w:tcBorders>
              <w:tl2br w:val="nil"/>
              <w:tr2bl w:val="nil"/>
            </w:tcBorders>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830" w:type="dxa"/>
            <w:tcBorders>
              <w:tl2br w:val="nil"/>
              <w:tr2bl w:val="nil"/>
            </w:tcBorders>
            <w:vAlign w:val="center"/>
          </w:tcPr>
          <w:p>
            <w:pPr>
              <w:spacing w:line="240" w:lineRule="exact"/>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夜间</w:t>
            </w:r>
          </w:p>
        </w:tc>
        <w:tc>
          <w:tcPr>
            <w:tcW w:w="830" w:type="dxa"/>
            <w:tcBorders>
              <w:tl2br w:val="nil"/>
              <w:tr2bl w:val="nil"/>
            </w:tcBorders>
            <w:vAlign w:val="center"/>
          </w:tcPr>
          <w:p>
            <w:pPr>
              <w:spacing w:line="240" w:lineRule="exact"/>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昼间</w:t>
            </w:r>
          </w:p>
        </w:tc>
        <w:tc>
          <w:tcPr>
            <w:tcW w:w="833" w:type="dxa"/>
            <w:tcBorders>
              <w:tl2br w:val="nil"/>
              <w:tr2bl w:val="nil"/>
            </w:tcBorders>
            <w:vAlign w:val="center"/>
          </w:tcPr>
          <w:p>
            <w:pPr>
              <w:spacing w:line="240" w:lineRule="exact"/>
              <w:jc w:val="center"/>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夜间</w:t>
            </w:r>
          </w:p>
        </w:tc>
        <w:tc>
          <w:tcPr>
            <w:tcW w:w="1874" w:type="dxa"/>
            <w:vMerge w:val="continue"/>
            <w:tcBorders>
              <w:tl2br w:val="nil"/>
              <w:tr2bl w:val="nil"/>
            </w:tcBorders>
            <w:vAlign w:val="center"/>
          </w:tcPr>
          <w:p>
            <w:pPr>
              <w:jc w:val="center"/>
              <w:rPr>
                <w:rFonts w:hint="default" w:ascii="Times New Roman" w:hAnsi="Times New Roman" w:eastAsia="宋体" w:cs="Times New Roman"/>
                <w:spacing w:val="0"/>
                <w:sz w:val="21"/>
                <w:szCs w:val="21"/>
                <w:lang w:eastAsia="zh-CN"/>
              </w:rPr>
            </w:pPr>
          </w:p>
        </w:tc>
        <w:tc>
          <w:tcPr>
            <w:tcW w:w="1586" w:type="dxa"/>
            <w:vMerge w:val="continue"/>
            <w:tcBorders>
              <w:tl2br w:val="nil"/>
              <w:tr2bl w:val="nil"/>
            </w:tcBorders>
            <w:vAlign w:val="center"/>
          </w:tcPr>
          <w:p>
            <w:pPr>
              <w:jc w:val="center"/>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2714"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北厂界外1m处（▲1#）</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60.4</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49.3</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60.5</w:t>
            </w:r>
          </w:p>
        </w:tc>
        <w:tc>
          <w:tcPr>
            <w:tcW w:w="833"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49.5</w:t>
            </w:r>
          </w:p>
        </w:tc>
        <w:tc>
          <w:tcPr>
            <w:tcW w:w="1874"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GB 12348-2008</w:t>
            </w:r>
          </w:p>
          <w:p>
            <w:pPr>
              <w:jc w:val="center"/>
              <w:rPr>
                <w:rFonts w:hint="default" w:ascii="Times New Roman" w:hAnsi="Times New Roman" w:eastAsia="宋体" w:cs="Times New Roman"/>
                <w:lang w:val="en-US" w:eastAsia="zh-CN"/>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70</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夜</w:t>
            </w:r>
            <w:r>
              <w:rPr>
                <w:rFonts w:hint="default" w:ascii="Times New Roman" w:hAnsi="Times New Roman" w:eastAsia="宋体" w:cs="Times New Roman"/>
              </w:rPr>
              <w:t>间：</w:t>
            </w:r>
            <w:r>
              <w:rPr>
                <w:rFonts w:hint="default" w:ascii="Times New Roman" w:hAnsi="Times New Roman" w:eastAsia="宋体" w:cs="Times New Roman"/>
                <w:lang w:val="en-US" w:eastAsia="zh-CN"/>
              </w:rPr>
              <w:t>55</w:t>
            </w:r>
          </w:p>
        </w:tc>
        <w:tc>
          <w:tcPr>
            <w:tcW w:w="1586" w:type="dxa"/>
            <w:tcBorders>
              <w:tl2br w:val="nil"/>
              <w:tr2bl w:val="nil"/>
            </w:tcBorders>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714"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西厂界外1m处（▲2#）</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58.3</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48.1</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58.4</w:t>
            </w:r>
          </w:p>
        </w:tc>
        <w:tc>
          <w:tcPr>
            <w:tcW w:w="833"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48.4</w:t>
            </w:r>
          </w:p>
        </w:tc>
        <w:tc>
          <w:tcPr>
            <w:tcW w:w="1874"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GB 12348-2008</w:t>
            </w:r>
          </w:p>
          <w:p>
            <w:pPr>
              <w:jc w:val="center"/>
              <w:rPr>
                <w:rFonts w:hint="default" w:ascii="Times New Roman" w:hAnsi="Times New Roman" w:eastAsia="宋体" w:cs="Times New Roman"/>
                <w:lang w:val="en-US" w:eastAsia="zh-CN"/>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夜</w:t>
            </w:r>
            <w:r>
              <w:rPr>
                <w:rFonts w:hint="default" w:ascii="Times New Roman" w:hAnsi="Times New Roman" w:eastAsia="宋体" w:cs="Times New Roman"/>
              </w:rPr>
              <w:t>间：</w:t>
            </w:r>
            <w:r>
              <w:rPr>
                <w:rFonts w:hint="default" w:ascii="Times New Roman" w:hAnsi="Times New Roman" w:eastAsia="宋体" w:cs="Times New Roman"/>
                <w:lang w:val="en-US" w:eastAsia="zh-CN"/>
              </w:rPr>
              <w:t>50</w:t>
            </w:r>
          </w:p>
        </w:tc>
        <w:tc>
          <w:tcPr>
            <w:tcW w:w="1586" w:type="dxa"/>
            <w:tcBorders>
              <w:tl2br w:val="nil"/>
              <w:tr2bl w:val="nil"/>
            </w:tcBorders>
            <w:vAlign w:val="center"/>
          </w:tcPr>
          <w:p>
            <w:pPr>
              <w:spacing w:line="240" w:lineRule="exact"/>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714"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南厂界外1m处（▲3#）</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57.8</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48.0</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57.8</w:t>
            </w:r>
          </w:p>
        </w:tc>
        <w:tc>
          <w:tcPr>
            <w:tcW w:w="833"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48.4</w:t>
            </w:r>
          </w:p>
        </w:tc>
        <w:tc>
          <w:tcPr>
            <w:tcW w:w="1874"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86" w:type="dxa"/>
            <w:tcBorders>
              <w:tl2br w:val="nil"/>
              <w:tr2bl w:val="nil"/>
            </w:tcBorders>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2714"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东厂界外1m处（▲4#）</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56.8</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47.3</w:t>
            </w:r>
          </w:p>
        </w:tc>
        <w:tc>
          <w:tcPr>
            <w:tcW w:w="830"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56.4</w:t>
            </w:r>
          </w:p>
        </w:tc>
        <w:tc>
          <w:tcPr>
            <w:tcW w:w="833"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47.7</w:t>
            </w:r>
          </w:p>
        </w:tc>
        <w:tc>
          <w:tcPr>
            <w:tcW w:w="1874"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86" w:type="dxa"/>
            <w:tcBorders>
              <w:tl2br w:val="nil"/>
              <w:tr2bl w:val="nil"/>
            </w:tcBorders>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达标</w:t>
            </w:r>
          </w:p>
        </w:tc>
      </w:tr>
    </w:tbl>
    <w:p>
      <w:pPr>
        <w:rPr>
          <w:rFonts w:hint="default" w:ascii="Times New Roman" w:hAnsi="Times New Roman" w:cs="Times New Roman"/>
        </w:rPr>
      </w:pPr>
      <w:bookmarkStart w:id="97" w:name="_Toc504325374"/>
      <w:r>
        <w:rPr>
          <w:rFonts w:hint="default" w:ascii="Times New Roman" w:hAnsi="Times New Roman" w:cs="Times New Roman"/>
        </w:rPr>
        <w:br w:type="page"/>
      </w:r>
    </w:p>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504325375"/>
      <w:bookmarkStart w:id="99" w:name="_Toc497001491"/>
      <w:r>
        <w:rPr>
          <w:rFonts w:hint="default" w:ascii="Times New Roman" w:hAnsi="Times New Roman" w:eastAsia="宋体" w:cs="Times New Roman"/>
        </w:rPr>
        <w:t>7.2.1有组织废气检测结果分析</w:t>
      </w:r>
      <w:bookmarkEnd w:id="98"/>
      <w:bookmarkEnd w:id="99"/>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auto"/>
          <w:sz w:val="24"/>
          <w:szCs w:val="24"/>
          <w:lang w:val="en-US" w:eastAsia="zh-CN"/>
        </w:rPr>
      </w:pPr>
      <w:bookmarkStart w:id="100" w:name="_Toc6604"/>
      <w:bookmarkStart w:id="101" w:name="_Toc15284"/>
      <w:bookmarkStart w:id="102" w:name="_Toc6889"/>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挤出发泡工序</w:t>
      </w:r>
      <w:r>
        <w:rPr>
          <w:rFonts w:hint="default" w:ascii="Times New Roman" w:hAnsi="Times New Roman" w:eastAsia="宋体" w:cs="Times New Roman"/>
          <w:color w:val="auto"/>
          <w:spacing w:val="-2"/>
          <w:sz w:val="24"/>
          <w:szCs w:val="24"/>
          <w:lang w:val="en-US" w:eastAsia="zh-CN"/>
        </w:rPr>
        <w:t>废气</w:t>
      </w:r>
      <w:r>
        <w:rPr>
          <w:rFonts w:hint="default"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二级活性炭吸附装置处理后由1根1</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m高排气筒排放</w:t>
      </w:r>
      <w:r>
        <w:rPr>
          <w:rFonts w:hint="eastAsia"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eastAsia="zh-CN"/>
        </w:rPr>
        <w:t>非甲烷总烃最高排放浓度为</w:t>
      </w:r>
      <w:r>
        <w:rPr>
          <w:rFonts w:hint="eastAsia" w:ascii="Times New Roman" w:hAnsi="Times New Roman" w:eastAsia="宋体" w:cs="Times New Roman"/>
          <w:color w:val="auto"/>
          <w:spacing w:val="-2"/>
          <w:sz w:val="24"/>
          <w:szCs w:val="24"/>
          <w:lang w:val="en-US" w:eastAsia="zh-CN"/>
        </w:rPr>
        <w:t>3.69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pacing w:val="-2"/>
          <w:sz w:val="24"/>
          <w:szCs w:val="24"/>
          <w:lang w:eastAsia="zh-CN"/>
        </w:rPr>
        <w:t>满足《合成树脂工业污染物排放标准》（GB31572-2015）表5大气污染物特别排放限值</w:t>
      </w:r>
      <w:r>
        <w:rPr>
          <w:rFonts w:hint="default" w:ascii="Times New Roman" w:hAnsi="Times New Roman" w:eastAsia="宋体" w:cs="Times New Roman"/>
          <w:color w:val="auto"/>
          <w:spacing w:val="-2"/>
          <w:sz w:val="24"/>
          <w:szCs w:val="24"/>
          <w:lang w:eastAsia="zh-CN"/>
        </w:rPr>
        <w:t>（非甲烷总烃：</w:t>
      </w:r>
      <w:r>
        <w:rPr>
          <w:rFonts w:hint="eastAsia" w:ascii="Times New Roman" w:hAnsi="Times New Roman" w:eastAsia="宋体" w:cs="Times New Roman"/>
          <w:color w:val="auto"/>
          <w:spacing w:val="-2"/>
          <w:sz w:val="24"/>
          <w:szCs w:val="24"/>
          <w:lang w:val="en-US" w:eastAsia="zh-CN"/>
        </w:rPr>
        <w:t>60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bCs/>
          <w:color w:val="auto"/>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eastAsia" w:ascii="Times New Roman" w:hAnsi="Times New Roman" w:eastAsia="宋体" w:cs="Times New Roman"/>
          <w:sz w:val="24"/>
          <w:szCs w:val="24"/>
          <w:lang w:val="en-US" w:eastAsia="zh-CN"/>
        </w:rPr>
        <w:t>1.08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w:t>
      </w:r>
      <w:r>
        <w:rPr>
          <w:rFonts w:hint="eastAsia" w:eastAsia="宋体" w:cs="Times New Roman"/>
          <w:sz w:val="24"/>
          <w:szCs w:val="24"/>
          <w:lang w:val="en-US" w:eastAsia="zh-CN"/>
        </w:rPr>
        <w:t>生产车间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1.91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满足</w:t>
      </w:r>
      <w:r>
        <w:rPr>
          <w:rFonts w:hint="default" w:ascii="Times New Roman" w:hAnsi="Times New Roman" w:eastAsia="宋体" w:cs="Times New Roman"/>
          <w:sz w:val="24"/>
          <w:szCs w:val="24"/>
          <w:lang w:val="en-US" w:eastAsia="zh-CN"/>
        </w:rPr>
        <w:t>《挥发性有机物无组织排放控制标准》（GB</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项目北厂界设1个监测点位，昼间、夜间噪声值</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70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w:t>
      </w:r>
      <w:r>
        <w:rPr>
          <w:rFonts w:hint="default" w:ascii="Times New Roman" w:hAnsi="Times New Roman" w:eastAsia="宋体" w:cs="Times New Roman"/>
          <w:kern w:val="0"/>
          <w:sz w:val="24"/>
          <w:szCs w:val="24"/>
        </w:rPr>
        <w:t>间：</w:t>
      </w:r>
      <w:r>
        <w:rPr>
          <w:rFonts w:hint="eastAsia" w:ascii="Times New Roman" w:hAnsi="Times New Roman" w:eastAsia="宋体" w:cs="Times New Roman"/>
          <w:kern w:val="0"/>
          <w:sz w:val="24"/>
          <w:szCs w:val="24"/>
          <w:lang w:val="en-US" w:eastAsia="zh-CN"/>
        </w:rPr>
        <w:t>55</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西、南、东方向各设1个监测点位，各点位昼间、夜噪声值</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w:t>
      </w:r>
      <w:r>
        <w:rPr>
          <w:rFonts w:hint="default" w:ascii="Times New Roman" w:hAnsi="Times New Roman" w:eastAsia="宋体" w:cs="Times New Roman"/>
          <w:kern w:val="0"/>
          <w:sz w:val="24"/>
          <w:szCs w:val="24"/>
        </w:rPr>
        <w:t>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项目污染物核定排放总量控制指标为</w:t>
      </w:r>
      <w:r>
        <w:rPr>
          <w:rFonts w:hint="default" w:ascii="Times New Roman" w:hAnsi="Times New Roman" w:eastAsia="宋体" w:cs="Times New Roman"/>
          <w:color w:val="auto"/>
          <w:sz w:val="24"/>
          <w:szCs w:val="24"/>
          <w:lang w:val="en-US" w:eastAsia="zh-CN"/>
        </w:rPr>
        <w:t>化学需氧量：0t/a、氨氮：0t/a、二氧化硫：0t/a、氮氧化物：0t/a</w:t>
      </w:r>
      <w:r>
        <w:rPr>
          <w:rFonts w:hint="default" w:ascii="Times New Roman" w:hAnsi="Times New Roman" w:eastAsia="宋体" w:cs="Times New Roman"/>
          <w:sz w:val="24"/>
          <w:szCs w:val="24"/>
          <w:lang w:val="en-US" w:eastAsia="zh-CN"/>
        </w:rPr>
        <w:t>；特征污染物总量控制建议指标为：非甲烷总烃：4.32t/a。</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val="en-US" w:eastAsia="zh-CN"/>
        </w:rPr>
        <w:t>项目实际排放污染物总量为：化学需氧量：0t/a、氨氮：0t/a、二氧化硫：0t/a、氮氧化物：0t/a、非甲烷总烃：0.086t/a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val="en-US" w:eastAsia="zh-CN"/>
        </w:rPr>
        <w:t>满足环评中总量控制要求</w:t>
      </w:r>
      <w:r>
        <w:rPr>
          <w:rFonts w:hint="default" w:ascii="Times New Roman" w:hAnsi="Times New Roman" w:eastAsia="宋体" w:cs="Times New Roman"/>
          <w:color w:val="auto"/>
          <w:sz w:val="24"/>
          <w:szCs w:val="24"/>
          <w:lang w:eastAsia="zh-CN"/>
        </w:rPr>
        <w:t>。</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河间市仁诚保温材料有限公司</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412705194"/>
      <w:bookmarkStart w:id="111" w:name="_Toc504325381"/>
      <w:bookmarkStart w:id="112" w:name="_Toc294178076"/>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504325382"/>
      <w:bookmarkStart w:id="114" w:name="_Toc412705195"/>
      <w:bookmarkStart w:id="115" w:name="_Toc294178077"/>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河间市仁诚保温材料有限公司</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2705199"/>
      <w:bookmarkStart w:id="118" w:name="_Toc414220604"/>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414220602"/>
      <w:bookmarkStart w:id="120" w:name="_Toc412705196"/>
      <w:bookmarkStart w:id="121" w:name="_Toc504325383"/>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5"/>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auto"/>
          <w:sz w:val="24"/>
          <w:szCs w:val="24"/>
          <w:lang w:val="en-US" w:eastAsia="zh-CN"/>
        </w:rPr>
      </w:pPr>
      <w:bookmarkStart w:id="125"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color w:val="auto"/>
          <w:spacing w:val="-2"/>
          <w:sz w:val="24"/>
          <w:szCs w:val="24"/>
          <w:lang w:val="en-US" w:eastAsia="zh-CN"/>
        </w:rPr>
        <w:t>项目挤出发泡工序废气</w:t>
      </w:r>
      <w:r>
        <w:rPr>
          <w:rFonts w:hint="default" w:ascii="Times New Roman" w:hAnsi="Times New Roman" w:eastAsia="宋体" w:cs="Times New Roman"/>
          <w:color w:val="auto"/>
          <w:sz w:val="24"/>
          <w:szCs w:val="24"/>
          <w:lang w:eastAsia="zh-CN"/>
        </w:rPr>
        <w:t>经二级活性炭吸附装置处理后由1根1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m高排气筒排放</w:t>
      </w:r>
      <w:r>
        <w:rPr>
          <w:rFonts w:hint="default" w:ascii="Times New Roman" w:hAnsi="Times New Roman" w:eastAsia="宋体" w:cs="Times New Roman"/>
          <w:color w:val="auto"/>
          <w:spacing w:val="-2"/>
          <w:sz w:val="24"/>
          <w:szCs w:val="24"/>
          <w:lang w:val="en-US" w:eastAsia="zh-CN"/>
        </w:rPr>
        <w:t>，</w:t>
      </w:r>
      <w:r>
        <w:rPr>
          <w:rFonts w:hint="default" w:ascii="Times New Roman" w:hAnsi="Times New Roman" w:eastAsia="宋体" w:cs="Times New Roman"/>
          <w:color w:val="auto"/>
          <w:spacing w:val="-2"/>
          <w:sz w:val="24"/>
          <w:szCs w:val="24"/>
          <w:lang w:eastAsia="zh-CN"/>
        </w:rPr>
        <w:t>非甲烷总烃最高排放浓度为</w:t>
      </w:r>
      <w:r>
        <w:rPr>
          <w:rFonts w:hint="default" w:ascii="Times New Roman" w:hAnsi="Times New Roman" w:eastAsia="宋体" w:cs="Times New Roman"/>
          <w:color w:val="auto"/>
          <w:spacing w:val="-2"/>
          <w:sz w:val="24"/>
          <w:szCs w:val="24"/>
          <w:lang w:val="en-US" w:eastAsia="zh-CN"/>
        </w:rPr>
        <w:t>3.69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pacing w:val="-2"/>
          <w:sz w:val="24"/>
          <w:szCs w:val="24"/>
          <w:lang w:eastAsia="zh-CN"/>
        </w:rPr>
        <w:t>满足《合成树脂工业污染物排放标准》（GB31572-2015）表5大气污染物特别排放限值（非甲烷总烃：</w:t>
      </w:r>
      <w:r>
        <w:rPr>
          <w:rFonts w:hint="default" w:ascii="Times New Roman" w:hAnsi="Times New Roman" w:eastAsia="宋体" w:cs="Times New Roman"/>
          <w:color w:val="auto"/>
          <w:spacing w:val="-2"/>
          <w:sz w:val="24"/>
          <w:szCs w:val="24"/>
          <w:lang w:val="en-US" w:eastAsia="zh-CN"/>
        </w:rPr>
        <w:t>60</w:t>
      </w:r>
      <w:r>
        <w:rPr>
          <w:rFonts w:hint="default" w:ascii="Times New Roman" w:hAnsi="Times New Roman" w:eastAsia="宋体" w:cs="Times New Roman"/>
          <w:color w:val="auto"/>
          <w:spacing w:val="-2"/>
          <w:sz w:val="24"/>
          <w:szCs w:val="24"/>
          <w:lang w:eastAsia="zh-CN"/>
        </w:rPr>
        <w:t>mg/m</w:t>
      </w:r>
      <w:r>
        <w:rPr>
          <w:rFonts w:hint="default" w:ascii="Times New Roman" w:hAnsi="Times New Roman" w:eastAsia="宋体" w:cs="Times New Roman"/>
          <w:color w:val="auto"/>
          <w:spacing w:val="-2"/>
          <w:sz w:val="24"/>
          <w:szCs w:val="24"/>
          <w:vertAlign w:val="superscript"/>
          <w:lang w:eastAsia="zh-CN"/>
        </w:rPr>
        <w:t>3</w:t>
      </w:r>
      <w:r>
        <w:rPr>
          <w:rFonts w:hint="default" w:ascii="Times New Roman" w:hAnsi="Times New Roman" w:eastAsia="宋体" w:cs="Times New Roman"/>
          <w:color w:val="auto"/>
          <w:spacing w:val="-2"/>
          <w:sz w:val="24"/>
          <w:szCs w:val="24"/>
          <w:lang w:eastAsia="zh-CN"/>
        </w:rPr>
        <w:t>）</w:t>
      </w:r>
      <w:r>
        <w:rPr>
          <w:rFonts w:hint="default" w:ascii="Times New Roman" w:hAnsi="Times New Roman" w:eastAsia="宋体" w:cs="Times New Roman"/>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w:t>
      </w:r>
      <w:r>
        <w:rPr>
          <w:rFonts w:hint="default" w:ascii="Times New Roman" w:hAnsi="Times New Roman" w:eastAsia="宋体" w:cs="Times New Roman"/>
          <w:spacing w:val="0"/>
          <w:sz w:val="24"/>
          <w:szCs w:val="24"/>
          <w:lang w:val="en-US" w:eastAsia="zh-CN"/>
        </w:rPr>
        <w:t>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eastAsia" w:ascii="Times New Roman" w:hAnsi="Times New Roman" w:eastAsia="宋体" w:cs="Times New Roman"/>
          <w:sz w:val="24"/>
          <w:szCs w:val="24"/>
          <w:lang w:val="en-US" w:eastAsia="zh-CN"/>
        </w:rPr>
        <w:t>1.08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color w:val="auto"/>
          <w:sz w:val="24"/>
          <w:szCs w:val="24"/>
        </w:rPr>
        <w:t>。</w:t>
      </w:r>
    </w:p>
    <w:p>
      <w:pPr>
        <w:pStyle w:val="105"/>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baseline"/>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厂区内</w:t>
      </w:r>
      <w:r>
        <w:rPr>
          <w:rFonts w:hint="eastAsia" w:eastAsia="宋体" w:cs="Times New Roman"/>
          <w:sz w:val="24"/>
          <w:szCs w:val="24"/>
          <w:lang w:val="en-US" w:eastAsia="zh-CN"/>
        </w:rPr>
        <w:t>生产车间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eastAsia" w:eastAsia="宋体" w:cs="Times New Roman"/>
          <w:sz w:val="24"/>
          <w:szCs w:val="24"/>
          <w:lang w:val="en-US" w:eastAsia="zh-CN"/>
        </w:rPr>
        <w:t>1.91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满足</w:t>
      </w:r>
      <w:r>
        <w:rPr>
          <w:rFonts w:hint="default" w:ascii="Times New Roman" w:hAnsi="Times New Roman" w:eastAsia="宋体" w:cs="Times New Roman"/>
          <w:sz w:val="24"/>
          <w:szCs w:val="24"/>
          <w:lang w:val="en-US" w:eastAsia="zh-CN"/>
        </w:rPr>
        <w:t>《挥发性有机物无组织排放控制标准》（GB</w:t>
      </w:r>
      <w:r>
        <w:rPr>
          <w:rFonts w:hint="eastAsia"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w:t>
      </w:r>
      <w:r>
        <w:rPr>
          <w:rFonts w:hint="eastAsia" w:ascii="Times New Roman" w:hAnsi="Times New Roman" w:eastAsia="宋体" w:cs="Times New Roman"/>
          <w:kern w:val="0"/>
          <w:sz w:val="24"/>
          <w:szCs w:val="24"/>
          <w:lang w:val="en-US" w:eastAsia="zh-CN"/>
        </w:rPr>
        <w:t>检</w:t>
      </w:r>
      <w:r>
        <w:rPr>
          <w:rFonts w:hint="default" w:ascii="Times New Roman" w:hAnsi="Times New Roman" w:eastAsia="宋体" w:cs="Times New Roman"/>
          <w:kern w:val="0"/>
          <w:sz w:val="24"/>
          <w:szCs w:val="24"/>
        </w:rPr>
        <w:t>测，该</w:t>
      </w:r>
      <w:r>
        <w:rPr>
          <w:rFonts w:hint="eastAsia" w:ascii="Times New Roman" w:hAnsi="Times New Roman" w:eastAsia="宋体" w:cs="Times New Roman"/>
          <w:kern w:val="0"/>
          <w:sz w:val="24"/>
          <w:szCs w:val="24"/>
          <w:lang w:val="en-US" w:eastAsia="zh-CN"/>
        </w:rPr>
        <w:t>项目北厂界设1个监测点位，昼间、夜间噪声值</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70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w:t>
      </w:r>
      <w:r>
        <w:rPr>
          <w:rFonts w:hint="default" w:ascii="Times New Roman" w:hAnsi="Times New Roman" w:eastAsia="宋体" w:cs="Times New Roman"/>
          <w:kern w:val="0"/>
          <w:sz w:val="24"/>
          <w:szCs w:val="24"/>
        </w:rPr>
        <w:t>间：</w:t>
      </w:r>
      <w:r>
        <w:rPr>
          <w:rFonts w:hint="eastAsia" w:ascii="Times New Roman" w:hAnsi="Times New Roman" w:eastAsia="宋体" w:cs="Times New Roman"/>
          <w:kern w:val="0"/>
          <w:sz w:val="24"/>
          <w:szCs w:val="24"/>
          <w:lang w:val="en-US" w:eastAsia="zh-CN"/>
        </w:rPr>
        <w:t>55</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西、南、东方向各设1个监测点位，各点位昼间、夜噪声值</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w:t>
      </w:r>
      <w:r>
        <w:rPr>
          <w:rFonts w:hint="default" w:ascii="Times New Roman" w:hAnsi="Times New Roman" w:eastAsia="宋体" w:cs="Times New Roman"/>
          <w:kern w:val="0"/>
          <w:sz w:val="24"/>
          <w:szCs w:val="24"/>
        </w:rPr>
        <w:t>dB（A）</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夜</w:t>
      </w:r>
      <w:r>
        <w:rPr>
          <w:rFonts w:hint="default" w:ascii="Times New Roman" w:hAnsi="Times New Roman" w:eastAsia="宋体" w:cs="Times New Roman"/>
          <w:kern w:val="0"/>
          <w:sz w:val="24"/>
          <w:szCs w:val="24"/>
        </w:rPr>
        <w:t>间：</w:t>
      </w:r>
      <w:r>
        <w:rPr>
          <w:rFonts w:hint="eastAsia" w:ascii="Times New Roman" w:hAnsi="Times New Roman" w:eastAsia="宋体" w:cs="Times New Roman"/>
          <w:kern w:val="0"/>
          <w:sz w:val="24"/>
          <w:szCs w:val="24"/>
          <w:lang w:val="en-US" w:eastAsia="zh-CN"/>
        </w:rPr>
        <w:t>50</w:t>
      </w:r>
      <w:r>
        <w:rPr>
          <w:rFonts w:hint="default" w:ascii="Times New Roman" w:hAnsi="Times New Roman" w:eastAsia="宋体" w:cs="Times New Roman"/>
          <w:kern w:val="0"/>
          <w:sz w:val="24"/>
          <w:szCs w:val="24"/>
        </w:rPr>
        <w:t>dB（A））。</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项目冷却用水循环使用不外排，定期补充新鲜水。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项目职工生活盥洗废水，直接用于厂区泼洒抑尘，所在厂区建设有防渗旱厕，由当地农民定期清掏用作农肥</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项目产生固体废物包括原料废包装袋，塑料边角料，有机废气治理设施产生的废活性炭，职工生活垃圾。</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项目原料废包装袋收集后外售综合利用；塑料边角料收集后回用于生产。</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废气处理产生的废活性炭收集后暂存于危废间，定期交有资质单位处置。</w:t>
      </w:r>
    </w:p>
    <w:p>
      <w:pPr>
        <w:pStyle w:val="39"/>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项目劳动定员产生的生活垃圾，厂区内设置垃圾桶收集，交于环卫部门清运处置。</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项目污染物核定排放总量控制指标为</w:t>
      </w:r>
      <w:r>
        <w:rPr>
          <w:rFonts w:hint="default" w:ascii="Times New Roman" w:hAnsi="Times New Roman" w:eastAsia="宋体" w:cs="Times New Roman"/>
          <w:color w:val="auto"/>
          <w:sz w:val="24"/>
          <w:szCs w:val="24"/>
          <w:lang w:val="en-US" w:eastAsia="zh-CN"/>
        </w:rPr>
        <w:t>化学需氧量：0t/a、氨氮：0t/a、二氧化硫：0t/a、氮氧化物：0t/a</w:t>
      </w:r>
      <w:r>
        <w:rPr>
          <w:rFonts w:hint="default" w:ascii="Times New Roman" w:hAnsi="Times New Roman" w:eastAsia="宋体" w:cs="Times New Roman"/>
          <w:sz w:val="24"/>
          <w:szCs w:val="24"/>
          <w:lang w:val="en-US" w:eastAsia="zh-CN"/>
        </w:rPr>
        <w:t>；特征污染物总量控制建议指标为：非甲烷总烃：4.32t/a。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lang w:val="en-US" w:eastAsia="zh-CN"/>
        </w:rPr>
        <w:t>项目实际排放污染物总量为：化学需氧量：0t/a、氨氮：0t/a、二氧化硫：0t/a、氮氧化物：0t/a、非甲烷总烃：0.086t/a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lang w:val="en-US" w:eastAsia="zh-CN"/>
        </w:rPr>
        <w:t>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-524510</wp:posOffset>
            </wp:positionH>
            <wp:positionV relativeFrom="paragraph">
              <wp:posOffset>1554480</wp:posOffset>
            </wp:positionV>
            <wp:extent cx="7212965" cy="4401820"/>
            <wp:effectExtent l="0" t="0" r="17780" b="698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rot="16200000">
                      <a:off x="0" y="0"/>
                      <a:ext cx="7212965" cy="440182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4384" behindDoc="0" locked="0" layoutInCell="1" allowOverlap="1">
            <wp:simplePos x="0" y="0"/>
            <wp:positionH relativeFrom="column">
              <wp:posOffset>-817880</wp:posOffset>
            </wp:positionH>
            <wp:positionV relativeFrom="paragraph">
              <wp:posOffset>1744980</wp:posOffset>
            </wp:positionV>
            <wp:extent cx="7653655" cy="4671695"/>
            <wp:effectExtent l="0" t="0" r="14605" b="444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rot="16200000">
                      <a:off x="0" y="0"/>
                      <a:ext cx="7653655" cy="4671695"/>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5408" behindDoc="0" locked="0" layoutInCell="1" allowOverlap="1">
            <wp:simplePos x="0" y="0"/>
            <wp:positionH relativeFrom="column">
              <wp:posOffset>867410</wp:posOffset>
            </wp:positionH>
            <wp:positionV relativeFrom="paragraph">
              <wp:posOffset>215900</wp:posOffset>
            </wp:positionV>
            <wp:extent cx="4191000" cy="6562725"/>
            <wp:effectExtent l="0" t="0" r="0" b="952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4191000" cy="6562725"/>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r>
        <w:rPr>
          <w:rFonts w:hint="default"/>
          <w:lang w:val="en-US" w:eastAsia="zh-CN"/>
        </w:rPr>
        <w:drawing>
          <wp:anchor distT="0" distB="0" distL="114300" distR="114300" simplePos="0" relativeHeight="251666432" behindDoc="0" locked="0" layoutInCell="1" allowOverlap="1">
            <wp:simplePos x="0" y="0"/>
            <wp:positionH relativeFrom="column">
              <wp:posOffset>184785</wp:posOffset>
            </wp:positionH>
            <wp:positionV relativeFrom="paragraph">
              <wp:posOffset>99060</wp:posOffset>
            </wp:positionV>
            <wp:extent cx="5835015" cy="8317230"/>
            <wp:effectExtent l="0" t="0" r="13335" b="7620"/>
            <wp:wrapNone/>
            <wp:docPr id="7" name="图片 7" descr="18ab1e760095ea19e5fcc4e166ab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ab1e760095ea19e5fcc4e166ab9d8"/>
                    <pic:cNvPicPr>
                      <a:picLocks noChangeAspect="1"/>
                    </pic:cNvPicPr>
                  </pic:nvPicPr>
                  <pic:blipFill>
                    <a:blip r:embed="rId16"/>
                    <a:stretch>
                      <a:fillRect/>
                    </a:stretch>
                  </pic:blipFill>
                  <pic:spPr>
                    <a:xfrm>
                      <a:off x="0" y="0"/>
                      <a:ext cx="5835015" cy="8317230"/>
                    </a:xfrm>
                    <a:prstGeom prst="rect">
                      <a:avLst/>
                    </a:prstGeom>
                  </pic:spPr>
                </pic:pic>
              </a:graphicData>
            </a:graphic>
          </wp:anchor>
        </w:drawing>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Style w:val="2"/>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7456" behindDoc="0" locked="0" layoutInCell="1" allowOverlap="1">
            <wp:simplePos x="0" y="0"/>
            <wp:positionH relativeFrom="column">
              <wp:posOffset>177165</wp:posOffset>
            </wp:positionH>
            <wp:positionV relativeFrom="paragraph">
              <wp:posOffset>131445</wp:posOffset>
            </wp:positionV>
            <wp:extent cx="5579110" cy="7810500"/>
            <wp:effectExtent l="0" t="0" r="2540" b="0"/>
            <wp:wrapNone/>
            <wp:docPr id="8" name="图片 8" descr="3营业执照-仁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营业执照-仁诚"/>
                    <pic:cNvPicPr>
                      <a:picLocks noChangeAspect="1"/>
                    </pic:cNvPicPr>
                  </pic:nvPicPr>
                  <pic:blipFill>
                    <a:blip r:embed="rId17"/>
                    <a:stretch>
                      <a:fillRect/>
                    </a:stretch>
                  </pic:blipFill>
                  <pic:spPr>
                    <a:xfrm>
                      <a:off x="0" y="0"/>
                      <a:ext cx="5579110" cy="7810500"/>
                    </a:xfrm>
                    <a:prstGeom prst="rect">
                      <a:avLst/>
                    </a:prstGeom>
                  </pic:spPr>
                </pic:pic>
              </a:graphicData>
            </a:graphic>
          </wp:anchor>
        </w:drawing>
      </w: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pStyle w:val="2"/>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河间市仁诚保温材料有限公司 </w:t>
      </w:r>
      <w:r>
        <w:rPr>
          <w:rFonts w:hint="default" w:ascii="Times New Roman" w:hAnsi="Times New Roman" w:cs="Times New Roman"/>
        </w:rPr>
        <w:t xml:space="preserve"> 填表人（签字）：            项目经办人（签字）：</w:t>
      </w:r>
    </w:p>
    <w:tbl>
      <w:tblPr>
        <w:tblStyle w:val="32"/>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聚乙烯泡沫塑料制品新建项目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河间市束城镇束城村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C2924泡沫塑料制造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1505585</wp:posOffset>
                      </wp:positionH>
                      <wp:positionV relativeFrom="paragraph">
                        <wp:posOffset>70485</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8.55pt;margin-top:5.55pt;height:5.6pt;width:5.25pt;z-index:251661312;v-text-anchor:middle;mso-width-relative:page;mso-height-relative:page;" fillcolor="#000000 [3213]" filled="t" stroked="t" coordsize="21600,21600" o:gfxdata="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6MX2AAAAAkBAAAPAAAAAAAAAAEAIAAAACIAAABkcnMv&#10;ZG93bnJldi54bWxQSwECFAAUAAAACACHTuJAoftk8AMCAAA2BAAADgAAAAAAAAABACAAAAAnAQAA&#10;ZHJzL2Uyb0RvYy54bWxQSwUGAAAAAAYABgBZAQAAnAU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1913255</wp:posOffset>
                      </wp:positionH>
                      <wp:positionV relativeFrom="paragraph">
                        <wp:posOffset>71120</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50.65pt;margin-top:5.6pt;height:5.6pt;width:5.25pt;z-index:251659264;v-text-anchor:middle;mso-width-relative:page;mso-height-relative:page;" fillcolor="#FFFFFF [3212]" filled="t" stroked="t" coordsize="21600,21600" o:gfxdata="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37pS/WAAAACQEAAA8AAAAAAAAAAQAgAAAAIgAA&#10;AGRycy9kb3ducmV2LnhtbFBLAQIUABQAAAAIAIdO4kBPUVJ4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2265045</wp:posOffset>
                      </wp:positionH>
                      <wp:positionV relativeFrom="paragraph">
                        <wp:posOffset>66040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8.35pt;margin-top:5.2pt;height:5.6pt;width:5.25pt;z-index:251660288;v-text-anchor:middle;mso-width-relative:page;mso-height-relative:page;" fillcolor="#FFFFFF [3212]" filled="t" stroked="t" coordsize="21600,21600" o:gfxdata="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IRDm3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年产聚乙烯泡沫棒1500立方米、聚乙烯泡沫板2000立方米、聚乙烯泡沫管1500立方米</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年产聚乙烯泡沫棒1500立方米、聚乙烯泡沫板2000立方米、聚乙烯泡沫管1500立方米</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河环表[2022]（07-20）号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7200小时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河间市仁诚保温材料有限公司</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91130984MABQ0W6M6L</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2696</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2696</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3.69</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60</w:t>
            </w:r>
          </w:p>
        </w:tc>
        <w:tc>
          <w:tcPr>
            <w:tcW w:w="992"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0.086</w:t>
            </w: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sz w:val="15"/>
                <w:szCs w:val="15"/>
                <w:lang w:val="en-US" w:eastAsia="zh-CN"/>
              </w:rPr>
              <w:t>0.086</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gridSpan w:val="2"/>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kern w:val="2"/>
                <w:sz w:val="15"/>
                <w:szCs w:val="15"/>
                <w:lang w:val="en-US" w:eastAsia="zh-CN" w:bidi="ar-SA"/>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0"/>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lang w:val="en-US"/>
      </w:rPr>
    </w:pPr>
    <w:r>
      <w:rPr>
        <w:rFonts w:hint="eastAsia" w:ascii="Times New Roman" w:hAnsi="Times New Roman" w:eastAsia="宋体" w:cs="Times New Roman"/>
        <w:color w:val="000000"/>
        <w:szCs w:val="21"/>
        <w:lang w:val="en-US" w:eastAsia="zh-CN"/>
      </w:rPr>
      <w:t>河间市仁诚保温材料有限公司聚乙烯泡沫塑料制品新建项目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12"/>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NmU5ZjY4ZDNjNjM0Zjc0OWEyY2I3YTM1ZWQwYzMifQ=="/>
  </w:docVars>
  <w:rsids>
    <w:rsidRoot w:val="00172A27"/>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4DDF"/>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C12428"/>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5E32F7"/>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850B2"/>
    <w:rsid w:val="067E40C3"/>
    <w:rsid w:val="068047BF"/>
    <w:rsid w:val="068835A7"/>
    <w:rsid w:val="06897DEA"/>
    <w:rsid w:val="068E61E3"/>
    <w:rsid w:val="069D7E7F"/>
    <w:rsid w:val="06A10933"/>
    <w:rsid w:val="06B06A51"/>
    <w:rsid w:val="06B859FF"/>
    <w:rsid w:val="06BA7BA3"/>
    <w:rsid w:val="06C360CA"/>
    <w:rsid w:val="06DE54C3"/>
    <w:rsid w:val="06ED1005"/>
    <w:rsid w:val="06F04E23"/>
    <w:rsid w:val="06F1352C"/>
    <w:rsid w:val="06F8156A"/>
    <w:rsid w:val="06FA0A90"/>
    <w:rsid w:val="06FC0B78"/>
    <w:rsid w:val="07072D42"/>
    <w:rsid w:val="07134C52"/>
    <w:rsid w:val="071A198F"/>
    <w:rsid w:val="072E0A4F"/>
    <w:rsid w:val="0731355F"/>
    <w:rsid w:val="07324B51"/>
    <w:rsid w:val="07336CD4"/>
    <w:rsid w:val="073A1EC1"/>
    <w:rsid w:val="073B3EC5"/>
    <w:rsid w:val="07416A9F"/>
    <w:rsid w:val="07433586"/>
    <w:rsid w:val="07443518"/>
    <w:rsid w:val="0751333B"/>
    <w:rsid w:val="076E3C64"/>
    <w:rsid w:val="076F525B"/>
    <w:rsid w:val="07702FE3"/>
    <w:rsid w:val="07791296"/>
    <w:rsid w:val="079646FD"/>
    <w:rsid w:val="07B14745"/>
    <w:rsid w:val="07BF60E4"/>
    <w:rsid w:val="07C14AB3"/>
    <w:rsid w:val="07CF4FAD"/>
    <w:rsid w:val="07D160AD"/>
    <w:rsid w:val="07D252A5"/>
    <w:rsid w:val="07D258D6"/>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3A7"/>
    <w:rsid w:val="08773FBC"/>
    <w:rsid w:val="087B2571"/>
    <w:rsid w:val="08980B3C"/>
    <w:rsid w:val="089D027B"/>
    <w:rsid w:val="08A14073"/>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743052"/>
    <w:rsid w:val="098039B6"/>
    <w:rsid w:val="09861866"/>
    <w:rsid w:val="09867AAE"/>
    <w:rsid w:val="098C57B3"/>
    <w:rsid w:val="099755D7"/>
    <w:rsid w:val="09A77D65"/>
    <w:rsid w:val="09AB63DF"/>
    <w:rsid w:val="09B53B18"/>
    <w:rsid w:val="09C247A3"/>
    <w:rsid w:val="09C74361"/>
    <w:rsid w:val="09CE35CA"/>
    <w:rsid w:val="09D66572"/>
    <w:rsid w:val="09DF0D92"/>
    <w:rsid w:val="0A0119DF"/>
    <w:rsid w:val="0A057EED"/>
    <w:rsid w:val="0A097800"/>
    <w:rsid w:val="0A16100F"/>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E91758"/>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813C1"/>
    <w:rsid w:val="0E185DDE"/>
    <w:rsid w:val="0E3C16E1"/>
    <w:rsid w:val="0E4A7961"/>
    <w:rsid w:val="0E4D4E25"/>
    <w:rsid w:val="0E5B0CC5"/>
    <w:rsid w:val="0E650064"/>
    <w:rsid w:val="0E7405B8"/>
    <w:rsid w:val="0E9D742B"/>
    <w:rsid w:val="0EB24ABA"/>
    <w:rsid w:val="0EB66F04"/>
    <w:rsid w:val="0EC33D86"/>
    <w:rsid w:val="0EC84D41"/>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B3C0F"/>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96EDE"/>
    <w:rsid w:val="14AD040F"/>
    <w:rsid w:val="14B317B9"/>
    <w:rsid w:val="14B90A62"/>
    <w:rsid w:val="14D2389F"/>
    <w:rsid w:val="14E27BDE"/>
    <w:rsid w:val="14E53E24"/>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758B0"/>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1E097B"/>
    <w:rsid w:val="1944492F"/>
    <w:rsid w:val="194556E6"/>
    <w:rsid w:val="19467706"/>
    <w:rsid w:val="194B4A77"/>
    <w:rsid w:val="19520D89"/>
    <w:rsid w:val="19571B1A"/>
    <w:rsid w:val="1958764A"/>
    <w:rsid w:val="196204A5"/>
    <w:rsid w:val="196952AB"/>
    <w:rsid w:val="196C5FAC"/>
    <w:rsid w:val="196D097D"/>
    <w:rsid w:val="196E4C5D"/>
    <w:rsid w:val="19715C96"/>
    <w:rsid w:val="19885BE7"/>
    <w:rsid w:val="19905C83"/>
    <w:rsid w:val="19962F4D"/>
    <w:rsid w:val="199E33D5"/>
    <w:rsid w:val="19A75A1A"/>
    <w:rsid w:val="19B977C7"/>
    <w:rsid w:val="19C45A62"/>
    <w:rsid w:val="19C8163C"/>
    <w:rsid w:val="19CC313D"/>
    <w:rsid w:val="19D325EA"/>
    <w:rsid w:val="19D8103D"/>
    <w:rsid w:val="19F35D66"/>
    <w:rsid w:val="1A055686"/>
    <w:rsid w:val="1A103EEA"/>
    <w:rsid w:val="1A1A2F1E"/>
    <w:rsid w:val="1A246FC3"/>
    <w:rsid w:val="1A2B4C8A"/>
    <w:rsid w:val="1A3E1491"/>
    <w:rsid w:val="1A3F3726"/>
    <w:rsid w:val="1A4C1BAF"/>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6E46D4"/>
    <w:rsid w:val="1D7E3AA3"/>
    <w:rsid w:val="1D991BE6"/>
    <w:rsid w:val="1D995637"/>
    <w:rsid w:val="1D9B2363"/>
    <w:rsid w:val="1DA926A8"/>
    <w:rsid w:val="1DB93F2C"/>
    <w:rsid w:val="1DCA41FA"/>
    <w:rsid w:val="1DD709CC"/>
    <w:rsid w:val="1DFD77F8"/>
    <w:rsid w:val="1E016670"/>
    <w:rsid w:val="1E037BD7"/>
    <w:rsid w:val="1E1142FD"/>
    <w:rsid w:val="1E1F61F9"/>
    <w:rsid w:val="1E21240D"/>
    <w:rsid w:val="1E226D67"/>
    <w:rsid w:val="1E2A6984"/>
    <w:rsid w:val="1E355B43"/>
    <w:rsid w:val="1E412B69"/>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20FDC"/>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B97509"/>
    <w:rsid w:val="23C23149"/>
    <w:rsid w:val="23F560DC"/>
    <w:rsid w:val="23FB048B"/>
    <w:rsid w:val="243520AC"/>
    <w:rsid w:val="244E2E08"/>
    <w:rsid w:val="244E566C"/>
    <w:rsid w:val="244F6681"/>
    <w:rsid w:val="24627BCF"/>
    <w:rsid w:val="2464789E"/>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066D31"/>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5183D"/>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276E1D"/>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9FB55D9"/>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BB14A2"/>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22306"/>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4B6"/>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EC7121"/>
    <w:rsid w:val="30F1289A"/>
    <w:rsid w:val="30F725A1"/>
    <w:rsid w:val="310208D8"/>
    <w:rsid w:val="31104E38"/>
    <w:rsid w:val="311528A0"/>
    <w:rsid w:val="311C7640"/>
    <w:rsid w:val="31200A1B"/>
    <w:rsid w:val="31374273"/>
    <w:rsid w:val="31383841"/>
    <w:rsid w:val="313D4BD0"/>
    <w:rsid w:val="314532C5"/>
    <w:rsid w:val="314947C9"/>
    <w:rsid w:val="3153035B"/>
    <w:rsid w:val="3158580C"/>
    <w:rsid w:val="316A78A7"/>
    <w:rsid w:val="316E4D3C"/>
    <w:rsid w:val="31716956"/>
    <w:rsid w:val="3177294E"/>
    <w:rsid w:val="317E3486"/>
    <w:rsid w:val="3184231A"/>
    <w:rsid w:val="31855F82"/>
    <w:rsid w:val="31910728"/>
    <w:rsid w:val="31920963"/>
    <w:rsid w:val="31982B99"/>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2595F"/>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007648"/>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BE65EF"/>
    <w:rsid w:val="37E2326F"/>
    <w:rsid w:val="37EF18DE"/>
    <w:rsid w:val="37EF79C3"/>
    <w:rsid w:val="37F670C3"/>
    <w:rsid w:val="37FC009C"/>
    <w:rsid w:val="37FE72E8"/>
    <w:rsid w:val="38266097"/>
    <w:rsid w:val="382B05E8"/>
    <w:rsid w:val="38341B11"/>
    <w:rsid w:val="383D11AC"/>
    <w:rsid w:val="38433B7B"/>
    <w:rsid w:val="38470E28"/>
    <w:rsid w:val="386466C5"/>
    <w:rsid w:val="386822BE"/>
    <w:rsid w:val="38706B70"/>
    <w:rsid w:val="3873396F"/>
    <w:rsid w:val="388C36FB"/>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2A4F7E"/>
    <w:rsid w:val="392B67E9"/>
    <w:rsid w:val="392E7FEA"/>
    <w:rsid w:val="3934169D"/>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7E52C6"/>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A2845"/>
    <w:rsid w:val="3CFE1DDC"/>
    <w:rsid w:val="3CFE53D2"/>
    <w:rsid w:val="3D052467"/>
    <w:rsid w:val="3D1A107E"/>
    <w:rsid w:val="3D1D4DF6"/>
    <w:rsid w:val="3D2D4A70"/>
    <w:rsid w:val="3D2D4D53"/>
    <w:rsid w:val="3D3C5700"/>
    <w:rsid w:val="3D430771"/>
    <w:rsid w:val="3D457DA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63137"/>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1479E"/>
    <w:rsid w:val="40AC5A0E"/>
    <w:rsid w:val="40B8094D"/>
    <w:rsid w:val="40BA342D"/>
    <w:rsid w:val="40BF2FB2"/>
    <w:rsid w:val="40BF56B4"/>
    <w:rsid w:val="40C93FF4"/>
    <w:rsid w:val="40CD2EC8"/>
    <w:rsid w:val="40CF6C51"/>
    <w:rsid w:val="40EC10C3"/>
    <w:rsid w:val="40F82324"/>
    <w:rsid w:val="40FD2C9F"/>
    <w:rsid w:val="40FD421D"/>
    <w:rsid w:val="41076CD8"/>
    <w:rsid w:val="411938A3"/>
    <w:rsid w:val="41196265"/>
    <w:rsid w:val="41207B76"/>
    <w:rsid w:val="41220192"/>
    <w:rsid w:val="41295F86"/>
    <w:rsid w:val="412A1DAC"/>
    <w:rsid w:val="413C20B9"/>
    <w:rsid w:val="414E282B"/>
    <w:rsid w:val="41594D80"/>
    <w:rsid w:val="416532E6"/>
    <w:rsid w:val="416D45B6"/>
    <w:rsid w:val="417803D7"/>
    <w:rsid w:val="417C6281"/>
    <w:rsid w:val="417F709C"/>
    <w:rsid w:val="41833A5A"/>
    <w:rsid w:val="41850103"/>
    <w:rsid w:val="418523ED"/>
    <w:rsid w:val="41926AF4"/>
    <w:rsid w:val="419A53F7"/>
    <w:rsid w:val="419D6C46"/>
    <w:rsid w:val="419F4F1F"/>
    <w:rsid w:val="41A366E6"/>
    <w:rsid w:val="41A422DF"/>
    <w:rsid w:val="41AA40E2"/>
    <w:rsid w:val="41AC1B64"/>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D82A69"/>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7C4D0A"/>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D30F6B"/>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317F76"/>
    <w:rsid w:val="4D4A10AE"/>
    <w:rsid w:val="4D614180"/>
    <w:rsid w:val="4D636D2B"/>
    <w:rsid w:val="4D694FB8"/>
    <w:rsid w:val="4D6A3847"/>
    <w:rsid w:val="4D7D1374"/>
    <w:rsid w:val="4D810EFD"/>
    <w:rsid w:val="4D8455BD"/>
    <w:rsid w:val="4D8F23B1"/>
    <w:rsid w:val="4D9A71AB"/>
    <w:rsid w:val="4D9F5DC1"/>
    <w:rsid w:val="4DA07B43"/>
    <w:rsid w:val="4DB006C9"/>
    <w:rsid w:val="4DB261FF"/>
    <w:rsid w:val="4DC821DE"/>
    <w:rsid w:val="4DCE6177"/>
    <w:rsid w:val="4DF76F88"/>
    <w:rsid w:val="4DFA6A27"/>
    <w:rsid w:val="4DFC75FA"/>
    <w:rsid w:val="4E0E2EE9"/>
    <w:rsid w:val="4E190962"/>
    <w:rsid w:val="4E195B02"/>
    <w:rsid w:val="4E2615C2"/>
    <w:rsid w:val="4E320A6E"/>
    <w:rsid w:val="4E384848"/>
    <w:rsid w:val="4E416531"/>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A063C"/>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86F84"/>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06426"/>
    <w:rsid w:val="5353489E"/>
    <w:rsid w:val="536A5A61"/>
    <w:rsid w:val="537307EF"/>
    <w:rsid w:val="53815422"/>
    <w:rsid w:val="53AB7385"/>
    <w:rsid w:val="53CD588A"/>
    <w:rsid w:val="53D5768D"/>
    <w:rsid w:val="53DC7820"/>
    <w:rsid w:val="54004901"/>
    <w:rsid w:val="5402155B"/>
    <w:rsid w:val="540A5CD5"/>
    <w:rsid w:val="5418592F"/>
    <w:rsid w:val="541A79B6"/>
    <w:rsid w:val="541D0734"/>
    <w:rsid w:val="54302171"/>
    <w:rsid w:val="54334036"/>
    <w:rsid w:val="543F603D"/>
    <w:rsid w:val="54406550"/>
    <w:rsid w:val="544B0D74"/>
    <w:rsid w:val="545F3EC3"/>
    <w:rsid w:val="54645543"/>
    <w:rsid w:val="547F50D8"/>
    <w:rsid w:val="548A0B21"/>
    <w:rsid w:val="548D46A4"/>
    <w:rsid w:val="549027F2"/>
    <w:rsid w:val="54A439AE"/>
    <w:rsid w:val="54AB3E37"/>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1377D"/>
    <w:rsid w:val="576F6390"/>
    <w:rsid w:val="578825D2"/>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477420"/>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879A4"/>
    <w:rsid w:val="599F0F68"/>
    <w:rsid w:val="59A1234A"/>
    <w:rsid w:val="59B3778B"/>
    <w:rsid w:val="59BC459E"/>
    <w:rsid w:val="59C074B6"/>
    <w:rsid w:val="59C56AFD"/>
    <w:rsid w:val="59D06437"/>
    <w:rsid w:val="59D210F0"/>
    <w:rsid w:val="59E54352"/>
    <w:rsid w:val="59F226B7"/>
    <w:rsid w:val="59F34CE6"/>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10559"/>
    <w:rsid w:val="5AC42A3D"/>
    <w:rsid w:val="5AC75828"/>
    <w:rsid w:val="5AD636E1"/>
    <w:rsid w:val="5ADF729E"/>
    <w:rsid w:val="5AE61F1D"/>
    <w:rsid w:val="5AEE617B"/>
    <w:rsid w:val="5AF373BF"/>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B24B1"/>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370B9"/>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83EEF"/>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B211AB"/>
    <w:rsid w:val="67D22629"/>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6729BD"/>
    <w:rsid w:val="69751858"/>
    <w:rsid w:val="69762F90"/>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2A40"/>
    <w:rsid w:val="6B455344"/>
    <w:rsid w:val="6B467A08"/>
    <w:rsid w:val="6B7641DD"/>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914B7"/>
    <w:rsid w:val="6CAE091F"/>
    <w:rsid w:val="6CB50197"/>
    <w:rsid w:val="6CC251F9"/>
    <w:rsid w:val="6CC87309"/>
    <w:rsid w:val="6CD41DC7"/>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46A95"/>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0446E9"/>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DC11E6"/>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32685"/>
    <w:rsid w:val="75DF7B1D"/>
    <w:rsid w:val="75EE088F"/>
    <w:rsid w:val="75F025ED"/>
    <w:rsid w:val="75FF6443"/>
    <w:rsid w:val="760115D8"/>
    <w:rsid w:val="760466E4"/>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073C31"/>
    <w:rsid w:val="77143EE3"/>
    <w:rsid w:val="771B39AA"/>
    <w:rsid w:val="7723230F"/>
    <w:rsid w:val="77452C20"/>
    <w:rsid w:val="77495AA5"/>
    <w:rsid w:val="774F4766"/>
    <w:rsid w:val="77555644"/>
    <w:rsid w:val="77686D29"/>
    <w:rsid w:val="77693BAF"/>
    <w:rsid w:val="777B1188"/>
    <w:rsid w:val="777E2922"/>
    <w:rsid w:val="778761D5"/>
    <w:rsid w:val="778D74D5"/>
    <w:rsid w:val="77947D96"/>
    <w:rsid w:val="77962650"/>
    <w:rsid w:val="779E458F"/>
    <w:rsid w:val="77A32285"/>
    <w:rsid w:val="77A4365E"/>
    <w:rsid w:val="77A75CFF"/>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45369"/>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51901"/>
    <w:rsid w:val="7CAA5048"/>
    <w:rsid w:val="7CB305A5"/>
    <w:rsid w:val="7CCD4836"/>
    <w:rsid w:val="7CD65610"/>
    <w:rsid w:val="7CDE73E1"/>
    <w:rsid w:val="7CED1392"/>
    <w:rsid w:val="7CF74207"/>
    <w:rsid w:val="7CFB7376"/>
    <w:rsid w:val="7D13002B"/>
    <w:rsid w:val="7D2D13A8"/>
    <w:rsid w:val="7D2D6F2A"/>
    <w:rsid w:val="7D3126F3"/>
    <w:rsid w:val="7D35110B"/>
    <w:rsid w:val="7D385AC2"/>
    <w:rsid w:val="7D3D2A50"/>
    <w:rsid w:val="7D3E7BDD"/>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B93ED7"/>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1"/>
    <w:qFormat/>
    <w:uiPriority w:val="0"/>
    <w:pPr>
      <w:spacing w:line="480" w:lineRule="atLeast"/>
      <w:outlineLvl w:val="0"/>
    </w:pPr>
    <w:rPr>
      <w:rFonts w:ascii="宋体" w:hAnsi="宋体" w:eastAsia="宋体"/>
      <w:b/>
      <w:sz w:val="30"/>
      <w:szCs w:val="30"/>
    </w:rPr>
  </w:style>
  <w:style w:type="paragraph" w:styleId="5">
    <w:name w:val="heading 2"/>
    <w:basedOn w:val="4"/>
    <w:next w:val="1"/>
    <w:link w:val="42"/>
    <w:qFormat/>
    <w:uiPriority w:val="0"/>
    <w:pPr>
      <w:outlineLvl w:val="1"/>
    </w:pPr>
    <w:rPr>
      <w:sz w:val="28"/>
    </w:rPr>
  </w:style>
  <w:style w:type="paragraph" w:styleId="6">
    <w:name w:val="heading 3"/>
    <w:basedOn w:val="1"/>
    <w:next w:val="1"/>
    <w:link w:val="43"/>
    <w:qFormat/>
    <w:uiPriority w:val="0"/>
    <w:pPr>
      <w:spacing w:line="480" w:lineRule="atLeast"/>
      <w:outlineLvl w:val="2"/>
    </w:pPr>
    <w:rPr>
      <w:rFonts w:ascii="宋体" w:hAnsi="宋体" w:eastAsia="宋体"/>
      <w:sz w:val="24"/>
      <w:szCs w:val="24"/>
    </w:rPr>
  </w:style>
  <w:style w:type="paragraph" w:styleId="3">
    <w:name w:val="heading 4"/>
    <w:basedOn w:val="1"/>
    <w:next w:val="2"/>
    <w:link w:val="44"/>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0"/>
    <w:qFormat/>
    <w:uiPriority w:val="0"/>
    <w:pPr>
      <w:ind w:firstLine="420" w:firstLineChars="200"/>
    </w:pPr>
    <w:rPr>
      <w:rFonts w:eastAsia="宋体"/>
      <w:szCs w:val="24"/>
    </w:rPr>
  </w:style>
  <w:style w:type="paragraph" w:styleId="7">
    <w:name w:val="caption"/>
    <w:basedOn w:val="1"/>
    <w:next w:val="1"/>
    <w:link w:val="71"/>
    <w:qFormat/>
    <w:uiPriority w:val="0"/>
    <w:pPr>
      <w:jc w:val="center"/>
    </w:pPr>
    <w:rPr>
      <w:rFonts w:ascii="宋体" w:hAnsi="Arial" w:eastAsia="宋体" w:cs="Arial"/>
    </w:rPr>
  </w:style>
  <w:style w:type="paragraph" w:styleId="8">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53"/>
    <w:qFormat/>
    <w:uiPriority w:val="0"/>
    <w:pPr>
      <w:jc w:val="left"/>
    </w:pPr>
    <w:rPr>
      <w:szCs w:val="24"/>
    </w:rPr>
  </w:style>
  <w:style w:type="paragraph" w:styleId="10">
    <w:name w:val="Body Text 3"/>
    <w:basedOn w:val="1"/>
    <w:link w:val="75"/>
    <w:qFormat/>
    <w:uiPriority w:val="0"/>
    <w:pPr>
      <w:spacing w:after="120"/>
    </w:pPr>
    <w:rPr>
      <w:rFonts w:ascii="Times New Roman" w:hAnsi="Times New Roman" w:eastAsia="宋体" w:cs="Times New Roman"/>
      <w:sz w:val="16"/>
      <w:szCs w:val="16"/>
    </w:rPr>
  </w:style>
  <w:style w:type="paragraph" w:styleId="11">
    <w:name w:val="Body Text"/>
    <w:basedOn w:val="1"/>
    <w:next w:val="12"/>
    <w:link w:val="79"/>
    <w:qFormat/>
    <w:uiPriority w:val="0"/>
    <w:rPr>
      <w:rFonts w:ascii="Times New Roman" w:hAnsi="Times New Roman" w:eastAsia="宋体" w:cs="Times New Roman"/>
      <w:sz w:val="32"/>
      <w:szCs w:val="20"/>
    </w:rPr>
  </w:style>
  <w:style w:type="paragraph" w:styleId="12">
    <w:name w:val="List Bullet 5"/>
    <w:basedOn w:val="1"/>
    <w:semiHidden/>
    <w:unhideWhenUsed/>
    <w:qFormat/>
    <w:uiPriority w:val="99"/>
    <w:pPr>
      <w:numPr>
        <w:ilvl w:val="0"/>
        <w:numId w:val="1"/>
      </w:numPr>
    </w:pPr>
  </w:style>
  <w:style w:type="paragraph" w:styleId="13">
    <w:name w:val="Body Text Indent"/>
    <w:basedOn w:val="1"/>
    <w:link w:val="80"/>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next w:val="1"/>
    <w:link w:val="73"/>
    <w:qFormat/>
    <w:uiPriority w:val="0"/>
    <w:rPr>
      <w:rFonts w:ascii="宋体" w:hAnsi="Courier New" w:eastAsia="宋体"/>
    </w:rPr>
  </w:style>
  <w:style w:type="paragraph" w:styleId="17">
    <w:name w:val="Date"/>
    <w:basedOn w:val="1"/>
    <w:next w:val="1"/>
    <w:link w:val="46"/>
    <w:unhideWhenUsed/>
    <w:qFormat/>
    <w:uiPriority w:val="0"/>
    <w:pPr>
      <w:ind w:left="100" w:leftChars="2500"/>
    </w:pPr>
  </w:style>
  <w:style w:type="paragraph" w:styleId="18">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5"/>
    <w:unhideWhenUsed/>
    <w:qFormat/>
    <w:uiPriority w:val="0"/>
    <w:rPr>
      <w:sz w:val="18"/>
      <w:szCs w:val="18"/>
    </w:rPr>
  </w:style>
  <w:style w:type="paragraph" w:styleId="20">
    <w:name w:val="footer"/>
    <w:basedOn w:val="1"/>
    <w:next w:val="1"/>
    <w:link w:val="48"/>
    <w:unhideWhenUsed/>
    <w:qFormat/>
    <w:uiPriority w:val="99"/>
    <w:pPr>
      <w:tabs>
        <w:tab w:val="center" w:pos="4153"/>
        <w:tab w:val="right" w:pos="8306"/>
      </w:tabs>
      <w:snapToGrid w:val="0"/>
      <w:jc w:val="left"/>
    </w:pPr>
    <w:rPr>
      <w:sz w:val="18"/>
      <w:szCs w:val="18"/>
    </w:rPr>
  </w:style>
  <w:style w:type="paragraph" w:styleId="21">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82"/>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4"/>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9"/>
    <w:next w:val="9"/>
    <w:link w:val="74"/>
    <w:qFormat/>
    <w:uiPriority w:val="0"/>
    <w:rPr>
      <w:b/>
      <w:bCs/>
    </w:rPr>
  </w:style>
  <w:style w:type="paragraph" w:styleId="30">
    <w:name w:val="Body Text First Indent"/>
    <w:basedOn w:val="11"/>
    <w:qFormat/>
    <w:uiPriority w:val="0"/>
    <w:pPr>
      <w:spacing w:after="120" w:line="240" w:lineRule="auto"/>
      <w:ind w:firstLine="420" w:firstLineChars="100"/>
    </w:pPr>
    <w:rPr>
      <w:sz w:val="28"/>
      <w:szCs w:val="2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bCs/>
    </w:rPr>
  </w:style>
  <w:style w:type="character" w:styleId="35">
    <w:name w:val="page number"/>
    <w:basedOn w:val="33"/>
    <w:qFormat/>
    <w:uiPriority w:val="0"/>
  </w:style>
  <w:style w:type="character" w:styleId="36">
    <w:name w:val="Emphasis"/>
    <w:basedOn w:val="33"/>
    <w:qFormat/>
    <w:uiPriority w:val="0"/>
    <w:rPr>
      <w:i/>
      <w:iCs/>
    </w:rPr>
  </w:style>
  <w:style w:type="character" w:styleId="37">
    <w:name w:val="Hyperlink"/>
    <w:basedOn w:val="33"/>
    <w:qFormat/>
    <w:uiPriority w:val="99"/>
    <w:rPr>
      <w:color w:val="000000"/>
      <w:u w:val="single"/>
    </w:rPr>
  </w:style>
  <w:style w:type="character" w:styleId="38">
    <w:name w:val="annotation reference"/>
    <w:basedOn w:val="33"/>
    <w:qFormat/>
    <w:uiPriority w:val="0"/>
    <w:rPr>
      <w:sz w:val="21"/>
      <w:szCs w:val="21"/>
    </w:rPr>
  </w:style>
  <w:style w:type="paragraph" w:customStyle="1" w:styleId="39">
    <w:name w:val="Default"/>
    <w:next w:val="16"/>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40">
    <w:name w:val="样式 正文文本 + 首行缩进:  2 字符"/>
    <w:basedOn w:val="11"/>
    <w:next w:val="1"/>
    <w:qFormat/>
    <w:uiPriority w:val="0"/>
    <w:pPr>
      <w:spacing w:line="480" w:lineRule="exact"/>
      <w:ind w:firstLine="480" w:firstLineChars="200"/>
    </w:pPr>
    <w:rPr>
      <w:rFonts w:ascii="宋体" w:hAnsi="宋体" w:eastAsia="宋体" w:cs="宋体"/>
      <w:sz w:val="24"/>
      <w:szCs w:val="20"/>
    </w:rPr>
  </w:style>
  <w:style w:type="character" w:customStyle="1" w:styleId="41">
    <w:name w:val="标题 1 Char"/>
    <w:basedOn w:val="33"/>
    <w:link w:val="4"/>
    <w:qFormat/>
    <w:uiPriority w:val="0"/>
    <w:rPr>
      <w:rFonts w:ascii="宋体" w:hAnsi="宋体" w:eastAsia="宋体"/>
      <w:b/>
      <w:sz w:val="30"/>
      <w:szCs w:val="30"/>
    </w:rPr>
  </w:style>
  <w:style w:type="character" w:customStyle="1" w:styleId="42">
    <w:name w:val="标题 2 Char"/>
    <w:basedOn w:val="33"/>
    <w:link w:val="5"/>
    <w:qFormat/>
    <w:uiPriority w:val="0"/>
    <w:rPr>
      <w:rFonts w:ascii="宋体" w:hAnsi="宋体" w:eastAsia="宋体"/>
      <w:b/>
      <w:sz w:val="28"/>
      <w:szCs w:val="30"/>
    </w:rPr>
  </w:style>
  <w:style w:type="character" w:customStyle="1" w:styleId="43">
    <w:name w:val="标题 3 Char"/>
    <w:basedOn w:val="33"/>
    <w:link w:val="6"/>
    <w:qFormat/>
    <w:uiPriority w:val="0"/>
    <w:rPr>
      <w:rFonts w:ascii="宋体" w:hAnsi="宋体" w:eastAsia="宋体"/>
      <w:sz w:val="24"/>
      <w:szCs w:val="24"/>
    </w:rPr>
  </w:style>
  <w:style w:type="character" w:customStyle="1" w:styleId="44">
    <w:name w:val="标题 4 Char"/>
    <w:basedOn w:val="33"/>
    <w:link w:val="3"/>
    <w:qFormat/>
    <w:uiPriority w:val="0"/>
    <w:rPr>
      <w:rFonts w:ascii="Arial" w:hAnsi="Arial" w:eastAsia="黑体" w:cs="Times New Roman"/>
      <w:b/>
      <w:bCs/>
      <w:sz w:val="28"/>
      <w:szCs w:val="28"/>
    </w:rPr>
  </w:style>
  <w:style w:type="character" w:customStyle="1" w:styleId="45">
    <w:name w:val="批注框文本 Char"/>
    <w:basedOn w:val="33"/>
    <w:link w:val="19"/>
    <w:qFormat/>
    <w:uiPriority w:val="0"/>
    <w:rPr>
      <w:sz w:val="18"/>
      <w:szCs w:val="18"/>
    </w:rPr>
  </w:style>
  <w:style w:type="character" w:customStyle="1" w:styleId="46">
    <w:name w:val="日期 Char"/>
    <w:basedOn w:val="33"/>
    <w:link w:val="17"/>
    <w:qFormat/>
    <w:uiPriority w:val="0"/>
  </w:style>
  <w:style w:type="character" w:customStyle="1" w:styleId="47">
    <w:name w:val="页眉 Char"/>
    <w:basedOn w:val="33"/>
    <w:link w:val="21"/>
    <w:qFormat/>
    <w:uiPriority w:val="0"/>
    <w:rPr>
      <w:sz w:val="18"/>
      <w:szCs w:val="18"/>
    </w:rPr>
  </w:style>
  <w:style w:type="character" w:customStyle="1" w:styleId="48">
    <w:name w:val="页脚 Char"/>
    <w:basedOn w:val="33"/>
    <w:link w:val="20"/>
    <w:qFormat/>
    <w:uiPriority w:val="99"/>
    <w:rPr>
      <w:sz w:val="18"/>
      <w:szCs w:val="18"/>
    </w:rPr>
  </w:style>
  <w:style w:type="character" w:customStyle="1" w:styleId="49">
    <w:name w:val="apple-converted-space"/>
    <w:basedOn w:val="33"/>
    <w:qFormat/>
    <w:uiPriority w:val="0"/>
  </w:style>
  <w:style w:type="character" w:customStyle="1" w:styleId="50">
    <w:name w:val="表内容@ Char"/>
    <w:basedOn w:val="33"/>
    <w:link w:val="51"/>
    <w:qFormat/>
    <w:uiPriority w:val="0"/>
    <w:rPr>
      <w:rFonts w:ascii="宋体" w:hAnsi="宋体" w:eastAsia="宋体" w:cs="Arial"/>
      <w:szCs w:val="21"/>
    </w:rPr>
  </w:style>
  <w:style w:type="paragraph" w:customStyle="1" w:styleId="51">
    <w:name w:val="表内容@"/>
    <w:basedOn w:val="1"/>
    <w:link w:val="50"/>
    <w:qFormat/>
    <w:uiPriority w:val="0"/>
    <w:pPr>
      <w:adjustRightInd w:val="0"/>
      <w:jc w:val="center"/>
    </w:pPr>
    <w:rPr>
      <w:rFonts w:ascii="宋体" w:hAnsi="宋体" w:eastAsia="宋体" w:cs="Arial"/>
      <w:szCs w:val="21"/>
    </w:rPr>
  </w:style>
  <w:style w:type="character" w:customStyle="1" w:styleId="52">
    <w:name w:val="t1"/>
    <w:qFormat/>
    <w:uiPriority w:val="0"/>
    <w:rPr>
      <w:sz w:val="28"/>
      <w:szCs w:val="28"/>
    </w:rPr>
  </w:style>
  <w:style w:type="character" w:customStyle="1" w:styleId="53">
    <w:name w:val="批注文字 Char"/>
    <w:basedOn w:val="33"/>
    <w:link w:val="9"/>
    <w:qFormat/>
    <w:uiPriority w:val="0"/>
    <w:rPr>
      <w:szCs w:val="24"/>
    </w:rPr>
  </w:style>
  <w:style w:type="character" w:customStyle="1" w:styleId="54">
    <w:name w:val="样式 正文@ + 首行缩进:  2 字符2 Char"/>
    <w:basedOn w:val="33"/>
    <w:link w:val="55"/>
    <w:qFormat/>
    <w:uiPriority w:val="0"/>
    <w:rPr>
      <w:rFonts w:ascii="宋体" w:hAnsi="宋体" w:eastAsia="宋体" w:cs="宋体"/>
      <w:sz w:val="24"/>
    </w:rPr>
  </w:style>
  <w:style w:type="paragraph" w:customStyle="1" w:styleId="55">
    <w:name w:val="样式 正文@ + 首行缩进:  2 字符2"/>
    <w:basedOn w:val="1"/>
    <w:link w:val="54"/>
    <w:qFormat/>
    <w:uiPriority w:val="0"/>
    <w:pPr>
      <w:spacing w:line="360" w:lineRule="auto"/>
      <w:ind w:firstLine="480" w:firstLineChars="200"/>
    </w:pPr>
    <w:rPr>
      <w:rFonts w:ascii="宋体" w:hAnsi="宋体" w:eastAsia="宋体" w:cs="宋体"/>
      <w:sz w:val="24"/>
    </w:rPr>
  </w:style>
  <w:style w:type="character" w:customStyle="1" w:styleId="56">
    <w:name w:val="样式 样式 正文@ + 首行缩进:  2 字符 字距调整小四 紧缩量  0.2 磅 + 首行缩进:  2 字符 Char"/>
    <w:basedOn w:val="33"/>
    <w:link w:val="57"/>
    <w:qFormat/>
    <w:uiPriority w:val="0"/>
    <w:rPr>
      <w:rFonts w:ascii="宋体" w:hAnsi="宋体" w:eastAsia="宋体" w:cs="宋体"/>
      <w:kern w:val="24"/>
      <w:sz w:val="24"/>
      <w:szCs w:val="24"/>
    </w:rPr>
  </w:style>
  <w:style w:type="paragraph" w:customStyle="1" w:styleId="57">
    <w:name w:val="样式 样式 正文@ + 首行缩进:  2 字符 字距调整小四 紧缩量  0.2 磅 + 首行缩进:  2 字符"/>
    <w:basedOn w:val="1"/>
    <w:link w:val="56"/>
    <w:qFormat/>
    <w:uiPriority w:val="0"/>
    <w:pPr>
      <w:spacing w:line="360" w:lineRule="auto"/>
      <w:ind w:firstLine="480" w:firstLineChars="200"/>
    </w:pPr>
    <w:rPr>
      <w:rFonts w:ascii="宋体" w:hAnsi="宋体" w:eastAsia="宋体" w:cs="宋体"/>
      <w:kern w:val="24"/>
      <w:sz w:val="24"/>
      <w:szCs w:val="24"/>
    </w:rPr>
  </w:style>
  <w:style w:type="character" w:customStyle="1" w:styleId="58">
    <w:name w:val="d1"/>
    <w:basedOn w:val="33"/>
    <w:qFormat/>
    <w:uiPriority w:val="0"/>
    <w:rPr>
      <w:rFonts w:hint="default" w:ascii="ˎ̥" w:hAnsi="ˎ̥"/>
      <w:color w:val="5C5C5C"/>
      <w:sz w:val="23"/>
      <w:szCs w:val="23"/>
      <w:u w:val="none"/>
    </w:rPr>
  </w:style>
  <w:style w:type="character" w:customStyle="1" w:styleId="59">
    <w:name w:val="正文2 Char Char"/>
    <w:basedOn w:val="33"/>
    <w:link w:val="60"/>
    <w:qFormat/>
    <w:uiPriority w:val="0"/>
    <w:rPr>
      <w:spacing w:val="18"/>
      <w:sz w:val="32"/>
    </w:rPr>
  </w:style>
  <w:style w:type="paragraph" w:customStyle="1" w:styleId="60">
    <w:name w:val="正文2"/>
    <w:link w:val="59"/>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1">
    <w:name w:val="表头 Char"/>
    <w:basedOn w:val="33"/>
    <w:link w:val="62"/>
    <w:qFormat/>
    <w:uiPriority w:val="0"/>
    <w:rPr>
      <w:rFonts w:ascii="黑体" w:eastAsia="黑体"/>
      <w:sz w:val="24"/>
    </w:rPr>
  </w:style>
  <w:style w:type="paragraph" w:customStyle="1" w:styleId="62">
    <w:name w:val="表头"/>
    <w:basedOn w:val="1"/>
    <w:link w:val="61"/>
    <w:qFormat/>
    <w:uiPriority w:val="0"/>
    <w:pPr>
      <w:spacing w:line="360" w:lineRule="auto"/>
      <w:jc w:val="center"/>
    </w:pPr>
    <w:rPr>
      <w:rFonts w:ascii="黑体" w:eastAsia="黑体"/>
      <w:sz w:val="24"/>
    </w:rPr>
  </w:style>
  <w:style w:type="character" w:customStyle="1" w:styleId="63">
    <w:name w:val="样式 表图头@ + 段前: 0.5 行 Char"/>
    <w:basedOn w:val="33"/>
    <w:link w:val="64"/>
    <w:qFormat/>
    <w:uiPriority w:val="0"/>
    <w:rPr>
      <w:rFonts w:ascii="宋体" w:hAnsi="宋体" w:eastAsia="宋体" w:cs="宋体"/>
    </w:rPr>
  </w:style>
  <w:style w:type="paragraph" w:customStyle="1" w:styleId="64">
    <w:name w:val="样式 表图头@ + 段前: 0.5 行"/>
    <w:basedOn w:val="1"/>
    <w:link w:val="63"/>
    <w:qFormat/>
    <w:uiPriority w:val="0"/>
    <w:pPr>
      <w:adjustRightInd w:val="0"/>
      <w:jc w:val="center"/>
    </w:pPr>
    <w:rPr>
      <w:rFonts w:ascii="宋体" w:hAnsi="宋体" w:eastAsia="宋体" w:cs="宋体"/>
    </w:rPr>
  </w:style>
  <w:style w:type="character" w:customStyle="1" w:styleId="65">
    <w:name w:val="style5"/>
    <w:basedOn w:val="33"/>
    <w:qFormat/>
    <w:uiPriority w:val="0"/>
  </w:style>
  <w:style w:type="character" w:customStyle="1" w:styleId="66">
    <w:name w:val="正文1 Char"/>
    <w:basedOn w:val="33"/>
    <w:link w:val="67"/>
    <w:qFormat/>
    <w:uiPriority w:val="0"/>
    <w:rPr>
      <w:rFonts w:eastAsia="宋体"/>
    </w:rPr>
  </w:style>
  <w:style w:type="paragraph" w:customStyle="1" w:styleId="67">
    <w:name w:val="正文1"/>
    <w:basedOn w:val="1"/>
    <w:link w:val="66"/>
    <w:qFormat/>
    <w:uiPriority w:val="0"/>
    <w:pPr>
      <w:adjustRightInd w:val="0"/>
      <w:snapToGrid w:val="0"/>
      <w:spacing w:line="500" w:lineRule="atLeast"/>
      <w:ind w:firstLine="567"/>
    </w:pPr>
    <w:rPr>
      <w:rFonts w:eastAsia="宋体"/>
    </w:rPr>
  </w:style>
  <w:style w:type="character" w:customStyle="1" w:styleId="68">
    <w:name w:val="样式2 Char Char"/>
    <w:basedOn w:val="33"/>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3"/>
    <w:link w:val="2"/>
    <w:qFormat/>
    <w:uiPriority w:val="0"/>
    <w:rPr>
      <w:rFonts w:eastAsia="宋体"/>
      <w:szCs w:val="24"/>
    </w:rPr>
  </w:style>
  <w:style w:type="character" w:customStyle="1" w:styleId="71">
    <w:name w:val="题注 Char"/>
    <w:basedOn w:val="33"/>
    <w:link w:val="7"/>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16"/>
    <w:qFormat/>
    <w:uiPriority w:val="0"/>
    <w:rPr>
      <w:rFonts w:ascii="宋体" w:hAnsi="Courier New" w:eastAsia="宋体"/>
    </w:rPr>
  </w:style>
  <w:style w:type="character" w:customStyle="1" w:styleId="74">
    <w:name w:val="批注主题 Char"/>
    <w:basedOn w:val="53"/>
    <w:link w:val="29"/>
    <w:qFormat/>
    <w:uiPriority w:val="0"/>
    <w:rPr>
      <w:b/>
      <w:bCs/>
      <w:szCs w:val="24"/>
    </w:rPr>
  </w:style>
  <w:style w:type="character" w:customStyle="1" w:styleId="75">
    <w:name w:val="正文文本 3 Char"/>
    <w:basedOn w:val="33"/>
    <w:link w:val="10"/>
    <w:qFormat/>
    <w:uiPriority w:val="0"/>
    <w:rPr>
      <w:rFonts w:ascii="Times New Roman" w:hAnsi="Times New Roman" w:eastAsia="宋体" w:cs="Times New Roman"/>
      <w:sz w:val="16"/>
      <w:szCs w:val="16"/>
    </w:rPr>
  </w:style>
  <w:style w:type="character" w:customStyle="1" w:styleId="76">
    <w:name w:val="文档结构图 Char"/>
    <w:basedOn w:val="33"/>
    <w:link w:val="8"/>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3"/>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3"/>
    <w:link w:val="11"/>
    <w:qFormat/>
    <w:uiPriority w:val="0"/>
    <w:rPr>
      <w:rFonts w:ascii="Times New Roman" w:hAnsi="Times New Roman" w:eastAsia="宋体" w:cs="Times New Roman"/>
      <w:sz w:val="32"/>
      <w:szCs w:val="20"/>
    </w:rPr>
  </w:style>
  <w:style w:type="character" w:customStyle="1" w:styleId="80">
    <w:name w:val="正文文本缩进 Char"/>
    <w:basedOn w:val="33"/>
    <w:link w:val="13"/>
    <w:qFormat/>
    <w:uiPriority w:val="0"/>
    <w:rPr>
      <w:rFonts w:ascii="宋体" w:hAnsi="Times New Roman" w:eastAsia="宋体" w:cs="Times New Roman"/>
      <w:sz w:val="24"/>
      <w:szCs w:val="24"/>
    </w:rPr>
  </w:style>
  <w:style w:type="character" w:customStyle="1" w:styleId="81">
    <w:name w:val="纯文本 字符1"/>
    <w:basedOn w:val="33"/>
    <w:semiHidden/>
    <w:qFormat/>
    <w:uiPriority w:val="99"/>
    <w:rPr>
      <w:rFonts w:hAnsi="Courier New" w:cs="Courier New" w:asciiTheme="minorEastAsia"/>
    </w:rPr>
  </w:style>
  <w:style w:type="character" w:customStyle="1" w:styleId="82">
    <w:name w:val="正文文本缩进 3 Char"/>
    <w:basedOn w:val="33"/>
    <w:link w:val="24"/>
    <w:qFormat/>
    <w:uiPriority w:val="0"/>
    <w:rPr>
      <w:rFonts w:ascii="宋体" w:hAnsi="Times New Roman" w:eastAsia="宋体" w:cs="Times New Roman"/>
      <w:sz w:val="28"/>
      <w:szCs w:val="20"/>
    </w:rPr>
  </w:style>
  <w:style w:type="character" w:customStyle="1" w:styleId="83">
    <w:name w:val="正文文本缩进 2 Char"/>
    <w:basedOn w:val="33"/>
    <w:link w:val="18"/>
    <w:qFormat/>
    <w:uiPriority w:val="0"/>
    <w:rPr>
      <w:rFonts w:ascii="Times New Roman" w:hAnsi="Times New Roman" w:eastAsia="宋体" w:cs="Times New Roman"/>
      <w:sz w:val="28"/>
      <w:szCs w:val="20"/>
    </w:rPr>
  </w:style>
  <w:style w:type="character" w:customStyle="1" w:styleId="84">
    <w:name w:val="正文文本 2 Char"/>
    <w:basedOn w:val="33"/>
    <w:link w:val="26"/>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39"/>
    <w:next w:val="39"/>
    <w:qFormat/>
    <w:uiPriority w:val="0"/>
    <w:pPr>
      <w:spacing w:line="626" w:lineRule="atLeast"/>
    </w:pPr>
    <w:rPr>
      <w:rFonts w:hAnsi="Times New Roman" w:cs="Times New Roman"/>
      <w:color w:val="auto"/>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39"/>
    <w:next w:val="39"/>
    <w:qFormat/>
    <w:uiPriority w:val="0"/>
    <w:pPr>
      <w:spacing w:line="468" w:lineRule="atLeast"/>
    </w:pPr>
    <w:rPr>
      <w:rFonts w:hAnsi="Times New Roman" w:cs="Times New Roman"/>
      <w:color w:val="auto"/>
    </w:rPr>
  </w:style>
  <w:style w:type="paragraph" w:customStyle="1" w:styleId="92">
    <w:name w:val="CM7"/>
    <w:basedOn w:val="39"/>
    <w:next w:val="39"/>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39"/>
    <w:next w:val="39"/>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39"/>
    <w:next w:val="39"/>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3"/>
    <w:qFormat/>
    <w:uiPriority w:val="0"/>
    <w:pPr>
      <w:spacing w:line="500" w:lineRule="exact"/>
      <w:ind w:firstLine="567"/>
    </w:pPr>
    <w:rPr>
      <w:sz w:val="28"/>
      <w:szCs w:val="20"/>
    </w:rPr>
  </w:style>
  <w:style w:type="paragraph" w:customStyle="1" w:styleId="104">
    <w:name w:val="CM51"/>
    <w:basedOn w:val="39"/>
    <w:next w:val="39"/>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16"/>
    <w:qFormat/>
    <w:uiPriority w:val="0"/>
    <w:rPr>
      <w:rFonts w:ascii="宋体" w:hAnsi="Courier New" w:eastAsia="宋体" w:cs="Courier New"/>
      <w:szCs w:val="21"/>
    </w:rPr>
  </w:style>
  <w:style w:type="paragraph" w:customStyle="1" w:styleId="108">
    <w:name w:val="CM5"/>
    <w:basedOn w:val="39"/>
    <w:next w:val="39"/>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39"/>
    <w:next w:val="39"/>
    <w:qFormat/>
    <w:uiPriority w:val="0"/>
    <w:rPr>
      <w:rFonts w:hAnsi="Times New Roman" w:cs="Times New Roman"/>
      <w:color w:val="auto"/>
    </w:rPr>
  </w:style>
  <w:style w:type="paragraph" w:customStyle="1" w:styleId="115">
    <w:name w:val="CM109"/>
    <w:basedOn w:val="39"/>
    <w:next w:val="39"/>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3"/>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202"/>
    <customShpInfo spid="_x0000_s1203"/>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31</Pages>
  <Words>10558</Words>
  <Characters>12672</Characters>
  <Lines>234</Lines>
  <Paragraphs>66</Paragraphs>
  <TotalTime>2</TotalTime>
  <ScaleCrop>false</ScaleCrop>
  <LinksUpToDate>false</LinksUpToDate>
  <CharactersWithSpaces>14494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2023-04-01T01:22:31Z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2DD0601DC74D453DA8F802A73678D168</vt:lpwstr>
  </property>
</Properties>
</file>