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HJSWSLSMCPJC001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河间市沃森铝塑门窗配件厂</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门窗专用隔热条扩建项目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河间市沃森铝塑门窗配件厂</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河间市沃森铝塑门窗配件厂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23</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03</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15</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28</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河间市沃森铝塑门窗配件厂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河间市卧佛堂镇北小店</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30万元建设门窗专用隔热条扩建项目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2021年11月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河间市沃森铝塑门窗配件厂门窗专用隔热条扩建项目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2021年12月13日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河间市沃森铝塑门窗配件厂门窗专用隔热条扩建项目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河间市沃森铝塑门窗配件厂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2023年02月20日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2023年02月21日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河间市沃森铝塑门窗配件厂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《合成树脂工业污染物排放标准》（GB31572-2015）；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（12）《挥发性有机物无组织排放控制标准》（GB 37822-2019）；</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河间市沃森铝塑门窗配件厂门窗专用隔热条扩建项目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2021年11月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河间市沃森铝塑门窗配件厂门窗专用隔热条扩建项目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河环表[2021]（12-12）号，2021年12月13日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504325324"/>
      <w:bookmarkStart w:id="10" w:name="_Toc497001436"/>
      <w:bookmarkStart w:id="11" w:name="_Toc496979000"/>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w:t>
      </w:r>
      <w:bookmarkStart w:id="128" w:name="_GoBack"/>
      <w:bookmarkEnd w:id="128"/>
      <w:r>
        <w:rPr>
          <w:rFonts w:hint="default" w:ascii="Times New Roman" w:hAnsi="Times New Roman" w:eastAsia="宋体" w:cs="Times New Roman"/>
          <w:sz w:val="24"/>
          <w:szCs w:val="24"/>
        </w:rPr>
        <w:t>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门窗专用隔热条扩建项目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河间市沃森铝塑门窗配件厂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刘双巧</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胡志东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河间市卧佛堂镇北小店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13933987993</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扩建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C2929</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塑料零件及其他塑料制品制造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河间市卧佛堂镇北小店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3.6</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497001437"/>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河间市卧佛堂镇北小店</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为东经116°16'6.787"，北纬38°35'50.160"。</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年增产门窗专用隔热条500吨（</w:t>
      </w:r>
      <w:r>
        <w:rPr>
          <w:rFonts w:hint="eastAsia" w:ascii="Times New Roman" w:hAnsi="Times New Roman" w:eastAsia="宋体" w:cs="Times New Roman"/>
          <w:spacing w:val="0"/>
          <w:sz w:val="24"/>
          <w:szCs w:val="24"/>
          <w:lang w:val="en-US" w:eastAsia="zh-CN"/>
        </w:rPr>
        <w:t>扩建项目实施后全厂年产门窗专用隔热条1500吨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1" w:name="_Toc504325329"/>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PP聚丙烯颗粒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POE聚乙烯颗粒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PE聚乙烯颗粒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PA尼龙颗粒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180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助剂（石蜡、白油、润滑剂）</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色母</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23</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965" w:type="dxa"/>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新鲜水</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m³/a</w:t>
            </w:r>
          </w:p>
        </w:tc>
        <w:tc>
          <w:tcPr>
            <w:tcW w:w="1543"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137</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965"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电</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万kWh/a</w:t>
            </w:r>
          </w:p>
        </w:tc>
        <w:tc>
          <w:tcPr>
            <w:tcW w:w="1543" w:type="dxa"/>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529"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12</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574"/>
        <w:gridCol w:w="4482"/>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bookmarkStart w:id="23" w:name="_Toc504325331"/>
            <w:r>
              <w:rPr>
                <w:rFonts w:hint="default" w:ascii="Times New Roman" w:hAnsi="Times New Roman" w:eastAsia="宋体" w:cs="Times New Roman"/>
                <w:color w:val="auto"/>
                <w:sz w:val="21"/>
                <w:szCs w:val="21"/>
              </w:rPr>
              <w:t>项目</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建筑面积1100m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，主要用于生产门窗专用隔热条</w:t>
            </w:r>
            <w:r>
              <w:rPr>
                <w:rFonts w:hint="default" w:ascii="Times New Roman" w:hAnsi="Times New Roman" w:eastAsia="宋体" w:cs="Times New Roman"/>
                <w:color w:val="auto"/>
                <w:sz w:val="21"/>
                <w:szCs w:val="21"/>
                <w:lang w:eastAsia="zh-CN"/>
              </w:rPr>
              <w:t>。</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危废暂存间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扩建项目依托现有工程</w:t>
            </w:r>
            <w:r>
              <w:rPr>
                <w:rFonts w:hint="default" w:ascii="Times New Roman" w:hAnsi="Times New Roman" w:eastAsia="宋体" w:cs="Times New Roman"/>
                <w:color w:val="auto"/>
                <w:sz w:val="21"/>
                <w:szCs w:val="21"/>
                <w:lang w:eastAsia="zh-CN"/>
              </w:rPr>
              <w:t>危废暂存间</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主要用于危险废物的存</w:t>
            </w:r>
            <w:r>
              <w:rPr>
                <w:rFonts w:hint="default" w:ascii="Times New Roman" w:hAnsi="Times New Roman" w:eastAsia="宋体" w:cs="Times New Roman"/>
                <w:color w:val="auto"/>
                <w:sz w:val="21"/>
                <w:szCs w:val="21"/>
                <w:highlight w:val="none"/>
                <w:lang w:val="en-US" w:eastAsia="zh-CN"/>
              </w:rPr>
              <w:t>放</w:t>
            </w:r>
            <w:r>
              <w:rPr>
                <w:rFonts w:hint="default" w:ascii="Times New Roman" w:hAnsi="Times New Roman" w:eastAsia="宋体" w:cs="Times New Roman"/>
                <w:color w:val="auto"/>
                <w:sz w:val="21"/>
                <w:szCs w:val="21"/>
                <w:highlight w:val="none"/>
                <w:lang w:eastAsia="zh-CN"/>
              </w:rPr>
              <w:t>。</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8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卧佛堂镇</w:t>
            </w:r>
            <w:r>
              <w:rPr>
                <w:rFonts w:hint="default" w:ascii="Times New Roman" w:hAnsi="Times New Roman" w:eastAsia="宋体" w:cs="Times New Roman"/>
                <w:color w:val="auto"/>
                <w:sz w:val="21"/>
                <w:szCs w:val="21"/>
              </w:rPr>
              <w:t>供电系统提供，可满足项目用电需求。</w:t>
            </w:r>
          </w:p>
        </w:tc>
        <w:tc>
          <w:tcPr>
            <w:tcW w:w="10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eastAsia="zh-CN"/>
              </w:rPr>
              <w:t>卧佛堂镇</w:t>
            </w:r>
            <w:r>
              <w:rPr>
                <w:rFonts w:hint="default" w:ascii="Times New Roman" w:hAnsi="Times New Roman" w:eastAsia="宋体" w:cs="Times New Roman"/>
                <w:color w:val="auto"/>
                <w:sz w:val="21"/>
                <w:szCs w:val="21"/>
              </w:rPr>
              <w:t>供水系统提供，可满足项目用水需求。</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项目冷却水循环使用，定期补水，不外排；厂内设防渗旱厕，项目生活污水排入旱厕，定期清掏，不外排。</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供热</w:t>
            </w:r>
          </w:p>
        </w:tc>
        <w:tc>
          <w:tcPr>
            <w:tcW w:w="2629" w:type="pct"/>
            <w:noWrap w:val="0"/>
            <w:vAlign w:val="center"/>
          </w:tcPr>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项目生产中全部采用电加热，冬季取暖采用空调。</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扩建项目入机、加热、挤出废气通过集气罩收集后送至</w:t>
            </w:r>
            <w:r>
              <w:rPr>
                <w:rFonts w:hint="default" w:ascii="Times New Roman" w:hAnsi="Times New Roman" w:eastAsia="宋体" w:cs="Times New Roman"/>
                <w:color w:val="auto"/>
                <w:sz w:val="21"/>
                <w:szCs w:val="21"/>
                <w:lang w:eastAsia="zh-CN"/>
              </w:rPr>
              <w:t>二级</w:t>
            </w:r>
            <w:r>
              <w:rPr>
                <w:rFonts w:hint="default" w:ascii="Times New Roman" w:hAnsi="Times New Roman" w:eastAsia="宋体" w:cs="Times New Roman"/>
                <w:color w:val="auto"/>
                <w:sz w:val="21"/>
                <w:szCs w:val="21"/>
              </w:rPr>
              <w:t>活性炭吸附装置</w:t>
            </w:r>
            <w:r>
              <w:rPr>
                <w:rFonts w:hint="default" w:ascii="Times New Roman" w:hAnsi="Times New Roman" w:eastAsia="宋体" w:cs="Times New Roman"/>
                <w:color w:val="auto"/>
                <w:sz w:val="21"/>
                <w:szCs w:val="21"/>
                <w:lang w:val="en-US" w:eastAsia="zh-CN"/>
              </w:rPr>
              <w:t>进行处理，处理后的废气由</w:t>
            </w:r>
            <w:r>
              <w:rPr>
                <w:rFonts w:hint="default" w:ascii="Times New Roman" w:hAnsi="Times New Roman" w:eastAsia="宋体" w:cs="Times New Roman"/>
                <w:color w:val="auto"/>
                <w:sz w:val="21"/>
                <w:szCs w:val="21"/>
              </w:rPr>
              <w:t>1根</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w:t>
            </w:r>
            <w:r>
              <w:rPr>
                <w:rFonts w:hint="default" w:ascii="Times New Roman" w:hAnsi="Times New Roman" w:eastAsia="宋体" w:cs="Times New Roman"/>
                <w:color w:val="auto"/>
                <w:sz w:val="21"/>
                <w:szCs w:val="21"/>
                <w:lang w:val="en-US" w:eastAsia="zh-CN"/>
              </w:rPr>
              <w:t>P3排放。</w:t>
            </w:r>
          </w:p>
        </w:tc>
        <w:tc>
          <w:tcPr>
            <w:tcW w:w="10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项目冷却水循环使用，定期补水，不外排；厂内设防渗旱厕，项目生活污水排入旱厕，定期清掏，不外排。</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2629" w:type="pct"/>
            <w:noWrap w:val="0"/>
            <w:vAlign w:val="center"/>
          </w:tcPr>
          <w:p>
            <w:pPr>
              <w:spacing w:line="30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生活垃圾由环卫部门清运处理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生产过程产生的</w:t>
            </w:r>
            <w:r>
              <w:rPr>
                <w:rFonts w:hint="default" w:ascii="Times New Roman" w:hAnsi="Times New Roman" w:eastAsia="宋体" w:cs="Times New Roman"/>
                <w:color w:val="auto"/>
                <w:sz w:val="21"/>
                <w:szCs w:val="21"/>
                <w:lang w:eastAsia="zh-CN"/>
              </w:rPr>
              <w:t>不合格品</w:t>
            </w:r>
            <w:r>
              <w:rPr>
                <w:rFonts w:hint="default" w:ascii="Times New Roman" w:hAnsi="Times New Roman" w:eastAsia="宋体" w:cs="Times New Roman"/>
                <w:color w:val="auto"/>
                <w:sz w:val="21"/>
                <w:szCs w:val="21"/>
              </w:rPr>
              <w:t>收集后外售；原料废包装袋收集后外售。</w:t>
            </w:r>
          </w:p>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危险废物：</w:t>
            </w:r>
            <w:r>
              <w:rPr>
                <w:rFonts w:hint="default" w:ascii="Times New Roman" w:hAnsi="Times New Roman" w:eastAsia="宋体" w:cs="Times New Roman"/>
                <w:color w:val="auto"/>
                <w:sz w:val="21"/>
                <w:szCs w:val="21"/>
                <w:lang w:val="en-US" w:eastAsia="zh-CN"/>
              </w:rPr>
              <w:t>废活性炭和废包装桶</w:t>
            </w:r>
            <w:r>
              <w:rPr>
                <w:rFonts w:hint="default" w:ascii="Times New Roman" w:hAnsi="Times New Roman" w:eastAsia="宋体" w:cs="Times New Roman"/>
                <w:color w:val="auto"/>
                <w:sz w:val="21"/>
                <w:szCs w:val="21"/>
              </w:rPr>
              <w:t>贮存于危废暂存间，定期委托有资质的单位处理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危废暂存间依托现有工程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spacing w:line="300" w:lineRule="exact"/>
              <w:jc w:val="lef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选用低噪声设备、安装减振装置、风机安装消声器、生产设备合理布局、厂房隔声等措施。</w:t>
            </w:r>
          </w:p>
        </w:tc>
        <w:tc>
          <w:tcPr>
            <w:tcW w:w="10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rPr>
            </w:pP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挤出机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Shj-65/dhj-70</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上料机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冷却塔台</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循环水池</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8m</w:t>
            </w:r>
            <w:r>
              <w:rPr>
                <w:rFonts w:hint="eastAsia" w:ascii="Times New Roman" w:hAnsi="Times New Roman" w:eastAsia="宋体" w:cs="Times New Roman"/>
                <w:color w:val="000000"/>
                <w:kern w:val="2"/>
                <w:sz w:val="21"/>
                <w:szCs w:val="21"/>
                <w:vertAlign w:val="superscript"/>
                <w:lang w:val="en-US" w:eastAsia="zh-CN" w:bidi="ar-SA"/>
              </w:rPr>
              <w:t>3</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切断机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吹风机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rPr>
          <w:rFonts w:hint="default" w:ascii="Times New Roman" w:hAnsi="Times New Roman" w:cs="Times New Roman"/>
          <w:b w:val="0"/>
          <w:bCs/>
          <w:color w:val="auto"/>
        </w:rPr>
        <w:pict>
          <v:shape id="_x0000_s1197" o:spid="_x0000_s1197" o:spt="75" type="#_x0000_t75" style="position:absolute;left:0pt;margin-left:-10.6pt;margin-top:6.95pt;height:169.65pt;width:422.5pt;z-index:251662336;mso-width-relative:page;mso-height-relative:page;" o:ole="t" filled="f" o:preferrelative="t" stroked="f" coordsize="21600,21600">
            <v:path/>
            <v:fill on="f" focussize="0,0"/>
            <v:stroke on="f"/>
            <v:imagedata r:id="rId9" o:title=""/>
            <o:lock v:ext="edit" aspectratio="f"/>
          </v:shape>
          <o:OLEObject Type="Embed" ProgID="Visio.Drawing.11" ShapeID="_x0000_s1197" DrawAspect="Content" ObjectID="_1468075725" r:id="rId8">
            <o:LockedField>false</o:LockedField>
          </o:OLEObject>
        </w:pict>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搅拌、混料：首先将各类原料按照比例投入缓慢放入到桶中，人工进行缓慢搅拌混料，使得物料混合均匀，该工序无钙粉使用，原料均为颗粒，粒径较大，不会有废气产生。</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入机、加热、挤出：混料均匀后经搅笼提升至储料仓中，待生产时，原料再由喂料机（设备自带）输送至挤出机（此过程均在密闭管道环境中进行），本项目挤出机使用电能进行加热，具有良好的加料性能、混炼塑化性能、排气性能、挤出稳定性等特点，目前已经广泛应用于挤出制品的成型加工。挤出机由传动装置、加料装置、料筒和螺杆等几个部分组成，用于型材挤出的双螺杆挤出机通常是紧密啮合且异向旋转的，可以在比较低的螺杆速度下操作，约在10r/min。第一次挤出时，由于原料在挤出机中存在着物料受热和混合不均匀的问题，从而导致挤出的产品强度以及韧性等性能不佳，为此，为了能够使得物料受热和混合更加均匀，进一步改善产品的强度以及韧性等性能，本项目需要进行第二次挤出。 </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原料经挤出机加热后挤出，加热挤出温度为180~220℃，PP的分解温度为 350~380℃，POE聚乙烯烃的分解温度为300℃左右，PE的分解温度320℃左右，PA的分解温度为260~265℃，因此，项目加工温度远低于项目所用原料的分解温度，因此，该工序原料颗粒熔化挤出过程中产生有机废气，以非甲烷总烃计，无其他废气产生。</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冷却、吹风：挤出后的原料经循环水冷却后，再经风干，去除表面的水分。 </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切断：经冷却后，原料经切断机，切割成等长度的颗粒状半成品。 </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上料：将色母与前一工序产生的颗粒状半成品送入单螺杆挤出机。 </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挤出成型：混合后的料经单螺杆挤出机加热熔融，加热使用电能，加热温度120~180℃，第二次挤出工序得到的最终产品具有更加优异的强度和韧性等性能，单螺杆挤出机在加热挤出成型过程中产生有机废气，以非甲烷总烃计。 </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包装入库：挤出的成品经自然降温冷却后，即为最终成品，随即可打包入库，待售。</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6979011"/>
      <w:bookmarkStart w:id="28" w:name="_Toc497001447"/>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项目用水由卧佛堂镇供水管网供给</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排水：扩建项目冷却水循环使用，定期补充，不外排；厂内设防渗旱厕，产生的生活污水排入旱厕，定期清掏，不外排</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504325336"/>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由卧佛堂镇供电系统供给</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河北康润环境科技有限公司</w:t>
      </w:r>
      <w:r>
        <w:rPr>
          <w:rFonts w:hint="eastAsia" w:ascii="Times New Roman" w:hAnsi="Times New Roman" w:eastAsia="宋体" w:cs="Times New Roman"/>
          <w:sz w:val="24"/>
          <w:szCs w:val="24"/>
          <w:lang w:eastAsia="zh-CN"/>
        </w:rPr>
        <w:t>于2021年11月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2021年12月13日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河环表[2021]（12-12）号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3.6</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30万元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3.6</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420"/>
        <w:gridCol w:w="1176"/>
        <w:gridCol w:w="1296"/>
        <w:gridCol w:w="2208"/>
        <w:gridCol w:w="2208"/>
        <w:gridCol w:w="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rPr>
                <w:rFonts w:hint="default" w:ascii="Times New Roman" w:hAnsi="Times New Roman" w:eastAsia="宋体" w:cs="Times New Roman"/>
                <w:b/>
                <w:bCs/>
                <w:color w:val="auto"/>
                <w:sz w:val="21"/>
                <w:szCs w:val="21"/>
              </w:rPr>
            </w:pPr>
            <w:bookmarkStart w:id="38" w:name="_Toc504325342"/>
            <w:r>
              <w:rPr>
                <w:rFonts w:hint="default" w:ascii="Times New Roman" w:hAnsi="Times New Roman" w:eastAsia="宋体" w:cs="Times New Roman"/>
                <w:b/>
                <w:bCs/>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159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排放口(编号、名称)/污染源</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42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w:t>
            </w:r>
          </w:p>
        </w:tc>
        <w:tc>
          <w:tcPr>
            <w:tcW w:w="11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混料入机挤出工序</w:t>
            </w:r>
            <w:r>
              <w:rPr>
                <w:rFonts w:hint="default" w:ascii="Times New Roman" w:hAnsi="Times New Roman" w:eastAsia="宋体" w:cs="Times New Roman"/>
                <w:color w:val="auto"/>
                <w:sz w:val="21"/>
                <w:szCs w:val="21"/>
                <w:highlight w:val="none"/>
                <w:lang w:val="en-US" w:eastAsia="zh-CN"/>
              </w:rPr>
              <w:t>排气筒P1</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(DA001)</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集气罩+布袋除尘器+二级活性炭吸附装置+</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eastAsia="zh-CN"/>
              </w:rPr>
              <w:t>《合成树脂工业污染物排放标准》（GB 31572-2015）中表5特别排放限值要求</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42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11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混料入机挤出工序</w:t>
            </w:r>
            <w:r>
              <w:rPr>
                <w:rFonts w:hint="default" w:ascii="Times New Roman" w:hAnsi="Times New Roman" w:eastAsia="宋体" w:cs="Times New Roman"/>
                <w:color w:val="auto"/>
                <w:sz w:val="21"/>
                <w:szCs w:val="21"/>
                <w:highlight w:val="none"/>
                <w:lang w:val="en-US" w:eastAsia="zh-CN"/>
              </w:rPr>
              <w:t>排气筒P2</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(DA002)</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非甲烷总烃</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集气罩+二级活性炭吸附装置+</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eastAsia="zh-CN"/>
              </w:rPr>
              <w:t>《合成树脂工业污染物排放标准》（GB 31572-2015）中表5特别排放限值要求</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4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扩建工程</w:t>
            </w:r>
          </w:p>
        </w:tc>
        <w:tc>
          <w:tcPr>
            <w:tcW w:w="11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入机、加热、挤出工序</w:t>
            </w:r>
            <w:r>
              <w:rPr>
                <w:rFonts w:hint="default" w:ascii="Times New Roman" w:hAnsi="Times New Roman" w:eastAsia="宋体" w:cs="Times New Roman"/>
                <w:color w:val="auto"/>
                <w:sz w:val="21"/>
                <w:szCs w:val="21"/>
                <w:highlight w:val="none"/>
                <w:lang w:val="en-US" w:eastAsia="zh-CN"/>
              </w:rPr>
              <w:t>排气筒P3</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(DA003)</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集气罩+二级活性炭吸附装置+</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eastAsia="zh-CN"/>
              </w:rPr>
              <w:t>《合成树脂工业污染物排放标准》（GB 31572-2015）中表5特别排放限值要求</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4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现有工程厂区</w:t>
            </w:r>
          </w:p>
        </w:tc>
        <w:tc>
          <w:tcPr>
            <w:tcW w:w="11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盛装原料的包装袋存放于室内，在非取用状态时应加盖、封口，保持密闭；采用密闭的容器进行物料转移；</w:t>
            </w:r>
            <w:r>
              <w:rPr>
                <w:rFonts w:hint="default" w:ascii="Times New Roman" w:hAnsi="Times New Roman" w:eastAsia="宋体" w:cs="Times New Roman"/>
                <w:color w:val="auto"/>
                <w:sz w:val="21"/>
                <w:szCs w:val="21"/>
                <w:highlight w:val="none"/>
              </w:rPr>
              <w:t>车间密闭，加强收集减少无组织废气的排放</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rPr>
              <w:t>《合成树脂工业污染物排放标准》（GB31572-2015）中表9企业边界大气污染物浓度限值</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pacing w:val="-10"/>
                <w:sz w:val="21"/>
                <w:szCs w:val="21"/>
                <w:highlight w:val="none"/>
                <w:u w:val="none" w:color="auto"/>
              </w:rPr>
              <w:t>《工业企业挥发性有机物排放控制标准》</w:t>
            </w:r>
            <w:r>
              <w:rPr>
                <w:rFonts w:hint="default" w:ascii="Times New Roman" w:hAnsi="Times New Roman" w:eastAsia="宋体" w:cs="Times New Roman"/>
                <w:color w:val="auto"/>
                <w:sz w:val="21"/>
                <w:szCs w:val="21"/>
                <w:highlight w:val="none"/>
                <w:u w:val="none" w:color="auto"/>
              </w:rPr>
              <w:t>(DB13/2322-2016)表2其他企业边界浓度限值</w:t>
            </w:r>
            <w:r>
              <w:rPr>
                <w:rFonts w:hint="default" w:ascii="Times New Roman" w:hAnsi="Times New Roman" w:eastAsia="宋体" w:cs="Times New Roman"/>
                <w:color w:val="auto"/>
                <w:sz w:val="21"/>
                <w:szCs w:val="21"/>
                <w:highlight w:val="none"/>
                <w:u w:val="none" w:color="auto"/>
                <w:lang w:eastAsia="zh-CN"/>
              </w:rPr>
              <w:t>及</w:t>
            </w:r>
            <w:r>
              <w:rPr>
                <w:rFonts w:hint="default" w:ascii="Times New Roman" w:hAnsi="Times New Roman" w:eastAsia="宋体" w:cs="Times New Roman"/>
                <w:color w:val="auto"/>
                <w:spacing w:val="-6"/>
                <w:kern w:val="2"/>
                <w:sz w:val="21"/>
                <w:szCs w:val="21"/>
                <w:highlight w:val="none"/>
              </w:rPr>
              <w:t>《挥发性有机物无组织排放控制标准》</w:t>
            </w:r>
            <w:r>
              <w:rPr>
                <w:rFonts w:hint="default" w:ascii="Times New Roman" w:hAnsi="Times New Roman" w:eastAsia="宋体" w:cs="Times New Roman"/>
                <w:color w:val="auto"/>
                <w:kern w:val="2"/>
                <w:sz w:val="21"/>
                <w:szCs w:val="21"/>
                <w:highlight w:val="none"/>
              </w:rPr>
              <w:t>（GB37822-2019）表A.1无组织排放限值</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4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扩建项目厂区</w:t>
            </w:r>
          </w:p>
        </w:tc>
        <w:tc>
          <w:tcPr>
            <w:tcW w:w="11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2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非甲烷总烃</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盛装原料的包装袋存放于室内，在非取用状态时应加盖、封口，保持密闭；采用密闭的容器进行物料转移；</w:t>
            </w:r>
            <w:r>
              <w:rPr>
                <w:rFonts w:hint="default" w:ascii="Times New Roman" w:hAnsi="Times New Roman" w:eastAsia="宋体" w:cs="Times New Roman"/>
                <w:color w:val="auto"/>
                <w:sz w:val="21"/>
                <w:szCs w:val="21"/>
                <w:highlight w:val="none"/>
              </w:rPr>
              <w:t>车间密闭，加强收集减少无组织废气的排放</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u w:val="none" w:color="auto"/>
              </w:rPr>
            </w:pPr>
            <w:r>
              <w:rPr>
                <w:rFonts w:hint="default" w:ascii="Times New Roman" w:hAnsi="Times New Roman" w:eastAsia="宋体" w:cs="Times New Roman"/>
                <w:color w:val="auto"/>
                <w:spacing w:val="-10"/>
                <w:sz w:val="21"/>
                <w:szCs w:val="21"/>
                <w:highlight w:val="none"/>
                <w:u w:val="none" w:color="auto"/>
              </w:rPr>
              <w:t>《工业企业挥发性有机物排放控制标准》</w:t>
            </w:r>
            <w:r>
              <w:rPr>
                <w:rFonts w:hint="default" w:ascii="Times New Roman" w:hAnsi="Times New Roman" w:eastAsia="宋体" w:cs="Times New Roman"/>
                <w:color w:val="auto"/>
                <w:sz w:val="21"/>
                <w:szCs w:val="21"/>
                <w:highlight w:val="none"/>
                <w:u w:val="none" w:color="auto"/>
              </w:rPr>
              <w:t>(DB13/2322-2016)表2其他企业边界浓度限值</w:t>
            </w:r>
            <w:r>
              <w:rPr>
                <w:rFonts w:hint="default" w:ascii="Times New Roman" w:hAnsi="Times New Roman" w:eastAsia="宋体" w:cs="Times New Roman"/>
                <w:color w:val="auto"/>
                <w:sz w:val="21"/>
                <w:szCs w:val="21"/>
                <w:highlight w:val="none"/>
                <w:u w:val="none" w:color="auto"/>
                <w:lang w:eastAsia="zh-CN"/>
              </w:rPr>
              <w:t>及</w:t>
            </w:r>
            <w:r>
              <w:rPr>
                <w:rFonts w:hint="default" w:ascii="Times New Roman" w:hAnsi="Times New Roman" w:eastAsia="宋体" w:cs="Times New Roman"/>
                <w:color w:val="auto"/>
                <w:spacing w:val="-6"/>
                <w:kern w:val="2"/>
                <w:sz w:val="21"/>
                <w:szCs w:val="21"/>
                <w:highlight w:val="none"/>
              </w:rPr>
              <w:t>《挥发性有机物无组织排放控制标准》</w:t>
            </w:r>
            <w:r>
              <w:rPr>
                <w:rFonts w:hint="default" w:ascii="Times New Roman" w:hAnsi="Times New Roman" w:eastAsia="宋体" w:cs="Times New Roman"/>
                <w:color w:val="auto"/>
                <w:kern w:val="2"/>
                <w:sz w:val="21"/>
                <w:szCs w:val="21"/>
                <w:highlight w:val="none"/>
              </w:rPr>
              <w:t>（GB37822-2019）表A.1无组织排放限值</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10"/>
                <w:sz w:val="21"/>
                <w:szCs w:val="21"/>
                <w:highlight w:val="none"/>
                <w:u w:val="none" w:color="auto"/>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96" w:type="dxa"/>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2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20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72"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厂内设防渗旱厕，项目生活污水排入旱厕，定期清掏</w:t>
            </w:r>
          </w:p>
        </w:tc>
        <w:tc>
          <w:tcPr>
            <w:tcW w:w="220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不外排</w:t>
            </w:r>
          </w:p>
        </w:tc>
        <w:tc>
          <w:tcPr>
            <w:tcW w:w="937" w:type="dxa"/>
            <w:vMerge w:val="restar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1596" w:type="dxa"/>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冷却水</w:t>
            </w:r>
          </w:p>
        </w:tc>
        <w:tc>
          <w:tcPr>
            <w:tcW w:w="12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SS</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循环使用，定期补充</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不外排</w:t>
            </w:r>
          </w:p>
        </w:tc>
        <w:tc>
          <w:tcPr>
            <w:tcW w:w="9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96" w:type="dxa"/>
            <w:gridSpan w:val="2"/>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设备噪声</w:t>
            </w:r>
          </w:p>
        </w:tc>
        <w:tc>
          <w:tcPr>
            <w:tcW w:w="1296"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等效连续A声级</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选用低噪声设备、安装减振装置、风机安装消声器、生产设备合理布局、厂房隔声等措施</w:t>
            </w:r>
          </w:p>
        </w:tc>
        <w:tc>
          <w:tcPr>
            <w:tcW w:w="22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2类标准</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1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308" w:type="dxa"/>
            <w:gridSpan w:val="5"/>
            <w:noWrap w:val="0"/>
            <w:vAlign w:val="center"/>
          </w:tcPr>
          <w:p>
            <w:pPr>
              <w:keepNext w:val="0"/>
              <w:keepLines w:val="0"/>
              <w:pageBreakBefore w:val="0"/>
              <w:widowControl w:val="0"/>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生活垃圾由环卫部门清运处理；</w:t>
            </w:r>
          </w:p>
          <w:p>
            <w:pPr>
              <w:keepNext w:val="0"/>
              <w:keepLines w:val="0"/>
              <w:pageBreakBefore w:val="0"/>
              <w:widowControl w:val="0"/>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一般固废：</w:t>
            </w:r>
            <w:r>
              <w:rPr>
                <w:rFonts w:hint="default" w:ascii="Times New Roman" w:hAnsi="Times New Roman" w:eastAsia="宋体" w:cs="Times New Roman"/>
                <w:color w:val="auto"/>
                <w:sz w:val="21"/>
                <w:szCs w:val="21"/>
              </w:rPr>
              <w:t>生产过程产生的</w:t>
            </w:r>
            <w:r>
              <w:rPr>
                <w:rFonts w:hint="default" w:ascii="Times New Roman" w:hAnsi="Times New Roman" w:eastAsia="宋体" w:cs="Times New Roman"/>
                <w:color w:val="auto"/>
                <w:sz w:val="21"/>
                <w:szCs w:val="21"/>
                <w:lang w:eastAsia="zh-CN"/>
              </w:rPr>
              <w:t>不合格品</w:t>
            </w:r>
            <w:r>
              <w:rPr>
                <w:rFonts w:hint="default" w:ascii="Times New Roman" w:hAnsi="Times New Roman" w:eastAsia="宋体" w:cs="Times New Roman"/>
                <w:color w:val="auto"/>
                <w:sz w:val="21"/>
                <w:szCs w:val="21"/>
              </w:rPr>
              <w:t>收集后外售；原料废包装袋收集后外售</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r>
              <w:rPr>
                <w:rFonts w:hint="default" w:ascii="Times New Roman" w:hAnsi="Times New Roman" w:eastAsia="宋体" w:cs="Times New Roman"/>
                <w:color w:val="auto"/>
                <w:sz w:val="21"/>
                <w:szCs w:val="21"/>
                <w:highlight w:val="none"/>
                <w:lang w:val="en-US" w:eastAsia="zh-CN"/>
              </w:rPr>
              <w:t>废包装桶和</w:t>
            </w:r>
            <w:r>
              <w:rPr>
                <w:rFonts w:hint="default" w:ascii="Times New Roman" w:hAnsi="Times New Roman" w:eastAsia="宋体" w:cs="Times New Roman"/>
                <w:color w:val="auto"/>
                <w:sz w:val="21"/>
                <w:szCs w:val="21"/>
                <w:highlight w:val="none"/>
              </w:rPr>
              <w:t>废活性炭存于危废暂存间，定期委托有资质的单位</w:t>
            </w:r>
            <w:r>
              <w:rPr>
                <w:rFonts w:hint="default" w:ascii="Times New Roman" w:hAnsi="Times New Roman" w:eastAsia="宋体" w:cs="Times New Roman"/>
                <w:color w:val="auto"/>
                <w:sz w:val="21"/>
                <w:szCs w:val="21"/>
                <w:highlight w:val="none"/>
                <w:lang w:eastAsia="zh-CN"/>
              </w:rPr>
              <w:t>处理。</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7308"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生产车间作为一般防渗区，采用地面硬化处理</w:t>
            </w:r>
          </w:p>
        </w:tc>
        <w:tc>
          <w:tcPr>
            <w:tcW w:w="9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已做硬化及防渗处理</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河间市卧佛堂镇北小店</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扩建项目冷却水循环使用，定期补充，不外排；厂内设防渗旱厕，产生的生活污水排入旱厕，定期清掏，不外排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现有工程项目整改后现有工程厂区南车间混料、入机、挤出工序废气经集气罩收集后，进入布袋除尘器+二级活性炭吸附装置处理后由15m排气筒P1排放，北车间挤出工序废气经集气罩收集后，进入二级活性炭吸附装置处理后由15m排气筒P2排放。扩建项目入机、加热、挤出废气通过集气罩收集后送至二级活性炭吸附装置进行处理，处理后的废气由1根15m高排气筒P3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6979024"/>
      <w:bookmarkStart w:id="43" w:name="_Toc504325346"/>
      <w:bookmarkStart w:id="44" w:name="_Toc497001461"/>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扩建项目冷却水循环使用，定期补充，不外排；厂内设防渗旱厕，产生的生活污水排入旱厕，定期清掏，不外排。</w:t>
      </w:r>
    </w:p>
    <w:p>
      <w:pPr>
        <w:pStyle w:val="6"/>
        <w:rPr>
          <w:rFonts w:hint="default" w:ascii="Times New Roman" w:hAnsi="Times New Roman" w:cs="Times New Roman"/>
        </w:rPr>
      </w:pPr>
      <w:bookmarkStart w:id="45" w:name="_Toc497001462"/>
      <w:bookmarkStart w:id="46" w:name="_Toc496979025"/>
      <w:bookmarkStart w:id="47" w:name="_Toc504325347"/>
      <w:r>
        <w:rPr>
          <w:rFonts w:hint="default" w:ascii="Times New Roman" w:hAnsi="Times New Roman" w:cs="Times New Roman"/>
        </w:rPr>
        <w:t>3.2.2废气</w:t>
      </w:r>
      <w:bookmarkEnd w:id="45"/>
      <w:bookmarkEnd w:id="46"/>
      <w:bookmarkEnd w:id="47"/>
    </w:p>
    <w:p>
      <w:pPr>
        <w:spacing w:line="480" w:lineRule="atLeast"/>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现有工程项目整改后现有工程厂区南车间混料、入机、挤出工序废气经集气罩收集后，进入布袋除尘器+二级活性炭吸附装置处理后由15m排气筒P1排放，北车间挤出工序废气经集气罩收集后，进入二级活性炭吸附装置处理后由15m排气筒P2排放。</w:t>
      </w:r>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扩建项目入机、加热、挤出废气通过集气罩收集后送至二级活性炭吸附装置进行处理，处理后的废气由1根15m高排气筒P3排放</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6979026"/>
      <w:bookmarkStart w:id="49" w:name="_Toc497001463"/>
      <w:bookmarkStart w:id="50" w:name="_Toc504325348"/>
      <w:r>
        <w:rPr>
          <w:rFonts w:hint="default" w:ascii="Times New Roman" w:hAnsi="Times New Roman" w:cs="Times New Roman"/>
        </w:rPr>
        <w:t>3.2.3噪声</w:t>
      </w:r>
      <w:bookmarkEnd w:id="48"/>
      <w:bookmarkEnd w:id="49"/>
      <w:bookmarkEnd w:id="50"/>
    </w:p>
    <w:p>
      <w:pPr>
        <w:pStyle w:val="60"/>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扩建项目噪声来源主要为机械设备运行产生噪声，项目主要产噪设备均在厂房内合理布置，并采取隔声减震等降噪措施后，排入周边环境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扩建项目运营期间产生废固体废物主要包括不合格品、原料废包装袋、废包装桶、废活性炭以及职工生活垃圾。</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生活垃圾由环卫部门清运处理；</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一般固废：生产过程产生的不合格品收集后外售；原料废包装袋收集后外售；</w:t>
      </w:r>
    </w:p>
    <w:p>
      <w:pPr>
        <w:pStyle w:val="39"/>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危险废物：废包装桶和废活性炭存于危废暂存间，定期委托有资质的单位处理</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497001467"/>
      <w:bookmarkStart w:id="58" w:name="_Toc496979030"/>
      <w:bookmarkStart w:id="59" w:name="_Toc504325353"/>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6979031"/>
      <w:bookmarkStart w:id="61" w:name="_Toc497001468"/>
      <w:bookmarkStart w:id="62" w:name="_Toc504325354"/>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保护措施监督检查清单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2021年12月13日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河环表[2021]（12-12）号。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河间市沃森铝塑门窗配件厂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河间市卧佛堂镇北小店</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南厂区混料入机挤出工序废气经集气罩+布袋除尘器+二级活性炭吸附装置处理，北厂区混料入机挤出工序、扩建工程入机加热挤出工序废气分别经集气罩+二级活性炭吸附装置处理后，非甲烷总烃要达到《合成树脂工业污染物排放标准》（GB31572-2015）表5标准和《工业企业挥发性有机物排放控制标准》（DB13/2322-2016）表2标准，同时满足《挥发性有机物无组织排放控制标准》（GB37822-2019）表A.1无组织特别排放限值要求；颗粒物要达到《合成树脂工业污染物排放标准》（GB31572-2015)表5、表9标准。</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废水：生活污水排入厂区防渗旱厕，定期清掏；冷却水循环使用，不得外排</w:t>
            </w:r>
            <w:r>
              <w:rPr>
                <w:rFonts w:hint="eastAsia" w:ascii="Times New Roman" w:hAnsi="Times New Roman" w:eastAsia="宋体" w:cs="Times New Roman"/>
                <w:color w:val="000000" w:themeColor="text1"/>
                <w:szCs w:val="21"/>
                <w:lang w:val="zh-CN"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7001474"/>
      <w:bookmarkStart w:id="69" w:name="_Toc496979035"/>
      <w:bookmarkStart w:id="70" w:name="_Toc504325359"/>
      <w:r>
        <w:rPr>
          <w:rFonts w:hint="default" w:ascii="Times New Roman" w:hAnsi="Times New Roman" w:cs="Times New Roman"/>
        </w:rPr>
        <w:t>5.1.</w:t>
      </w:r>
      <w:bookmarkEnd w:id="68"/>
      <w:bookmarkEnd w:id="69"/>
      <w:bookmarkStart w:id="71" w:name="_Toc496979036"/>
      <w:bookmarkStart w:id="72"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《合成树脂工业污染物排放标准》（GB 31572-2015）中表5大气污染物特别排放限值、表9企业边界大气污染物浓度限值；《工业企业挥发性有机物排放控制标准》(DB13/2322-2016)表2企业边界大气污染物浓度限值；《挥发性有机物无组织排放控制标准》（GB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6979037"/>
      <w:bookmarkStart w:id="74" w:name="_Toc497001476"/>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DA001混料入机挤出工序废气排气筒出口</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DA002混料入机挤出工序废气排气筒出口</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DA003入机、加热、挤出工序废气排气筒出口</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总悬浮颗粒物</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1.0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《合成树脂工业污染物排放标准》(GB31572-2015)表9企业边界大气污染物浓度限值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扩建项目污染物总量控制指标建议为：化学需氧量：0t/a、氨氮：0t/a、氮氧化物：0t/a、非甲烷总烃：1.152t/a；全厂污染物总量控制指标为：颗粒物：0.24t/a、非甲烷总烃：2.592t/a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2023年02月20日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2023年02月21日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497001482"/>
      <w:bookmarkStart w:id="84" w:name="_Toc504325366"/>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eastAsia="zh-CN"/>
              </w:rPr>
              <w:t>DA001混料入机挤出工序</w:t>
            </w:r>
            <w:r>
              <w:rPr>
                <w:rFonts w:hint="eastAsia" w:ascii="Times New Roman" w:hAnsi="Times New Roman" w:eastAsia="宋体" w:cs="Times New Roman"/>
                <w:kern w:val="0"/>
                <w:szCs w:val="21"/>
              </w:rPr>
              <w:t>废气排气筒</w:t>
            </w:r>
            <w:r>
              <w:rPr>
                <w:rFonts w:hint="eastAsia" w:ascii="Times New Roman" w:hAnsi="Times New Roman" w:eastAsia="宋体" w:cs="Times New Roman"/>
                <w:kern w:val="0"/>
                <w:szCs w:val="21"/>
                <w:lang w:eastAsia="zh-CN"/>
              </w:rPr>
              <w:t>进口</w:t>
            </w:r>
          </w:p>
        </w:tc>
        <w:tc>
          <w:tcPr>
            <w:tcW w:w="2140"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spacing w:line="22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DA001混料入机挤出工序废气排气筒出口</w:t>
            </w:r>
          </w:p>
        </w:tc>
        <w:tc>
          <w:tcPr>
            <w:tcW w:w="2140" w:type="dxa"/>
            <w:vAlign w:val="center"/>
          </w:tcPr>
          <w:p>
            <w:pPr>
              <w:snapToGrid w:val="0"/>
              <w:spacing w:line="22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非甲烷总烃、颗粒物、氨</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DA002混料入机挤出工序废气排气筒进口</w:t>
            </w:r>
          </w:p>
        </w:tc>
        <w:tc>
          <w:tcPr>
            <w:tcW w:w="2140"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DA002混料入机挤出工序废气排气筒出口</w:t>
            </w:r>
          </w:p>
        </w:tc>
        <w:tc>
          <w:tcPr>
            <w:tcW w:w="2140"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非甲烷总烃、氨</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DA003入机、加热、挤出工序废气排气筒进口</w:t>
            </w:r>
          </w:p>
        </w:tc>
        <w:tc>
          <w:tcPr>
            <w:tcW w:w="2140"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DA003入机、加热、挤出工序废气排气筒出口</w:t>
            </w:r>
          </w:p>
        </w:tc>
        <w:tc>
          <w:tcPr>
            <w:tcW w:w="2140" w:type="dxa"/>
            <w:vAlign w:val="center"/>
          </w:tcPr>
          <w:p>
            <w:pPr>
              <w:snapToGrid w:val="0"/>
              <w:spacing w:line="220" w:lineRule="exact"/>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非甲烷总烃、氨</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505" w:type="dxa"/>
            <w:gridSpan w:val="3"/>
            <w:vAlign w:val="center"/>
          </w:tcPr>
          <w:p>
            <w:pPr>
              <w:spacing w:line="240" w:lineRule="auto"/>
              <w:ind w:right="139" w:rightChars="66"/>
              <w:jc w:val="center"/>
              <w:rPr>
                <w:rFonts w:hint="eastAsia" w:ascii="Times New Roman" w:hAnsi="Times New Roman" w:eastAsia="宋体" w:cs="Times New Roman"/>
                <w:b w:val="0"/>
                <w:bCs/>
                <w:kern w:val="0"/>
                <w:szCs w:val="21"/>
                <w:lang w:val="en-US" w:eastAsia="zh-CN"/>
              </w:rPr>
            </w:pPr>
            <w:r>
              <w:rPr>
                <w:rFonts w:hint="eastAsia" w:ascii="Times New Roman" w:hAnsi="Times New Roman" w:eastAsia="宋体" w:cs="Times New Roman"/>
                <w:b w:val="0"/>
                <w:bCs/>
                <w:kern w:val="0"/>
                <w:szCs w:val="21"/>
                <w:lang w:val="en-US" w:eastAsia="zh-CN"/>
              </w:rPr>
              <w:t>东厂区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厂界外下风向浓度最高点设3个监控点，</w:t>
            </w:r>
            <w:r>
              <w:rPr>
                <w:rFonts w:hint="eastAsia" w:ascii="Times New Roman" w:hAnsi="Times New Roman" w:eastAsia="宋体" w:cs="Times New Roman"/>
                <w:lang w:eastAsia="zh-CN"/>
              </w:rPr>
              <w:t>南、北</w:t>
            </w:r>
            <w:r>
              <w:rPr>
                <w:rFonts w:hint="eastAsia" w:ascii="Times New Roman" w:hAnsi="Times New Roman" w:eastAsia="宋体" w:cs="Times New Roman"/>
                <w:lang w:val="en-US" w:eastAsia="zh-CN"/>
              </w:rPr>
              <w:t>生产车间</w:t>
            </w:r>
            <w:r>
              <w:rPr>
                <w:rFonts w:hint="eastAsia" w:ascii="Times New Roman" w:hAnsi="Times New Roman" w:eastAsia="宋体" w:cs="Times New Roman"/>
              </w:rPr>
              <w:t>门口外1m处</w:t>
            </w:r>
            <w:r>
              <w:rPr>
                <w:rFonts w:hint="eastAsia" w:ascii="Times New Roman" w:hAnsi="Times New Roman" w:eastAsia="宋体" w:cs="Times New Roman"/>
                <w:lang w:eastAsia="zh-CN"/>
              </w:rPr>
              <w:t>各</w:t>
            </w: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w:t>
            </w:r>
            <w:r>
              <w:rPr>
                <w:rFonts w:hint="eastAsia" w:ascii="Times New Roman" w:hAnsi="Times New Roman" w:eastAsia="宋体" w:cs="Times New Roman"/>
              </w:rPr>
              <w:t>下风向浓度最高点设3个监控点，上风向设1个参照点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总悬浮颗粒物</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w:t>
            </w:r>
            <w:r>
              <w:rPr>
                <w:rFonts w:hint="eastAsia" w:ascii="Times New Roman" w:hAnsi="Times New Roman" w:eastAsia="宋体" w:cs="Times New Roman"/>
              </w:rPr>
              <w:t>下风向浓度最高点设3个监控点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氨</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jc w:val="center"/>
        </w:trPr>
        <w:tc>
          <w:tcPr>
            <w:tcW w:w="8505" w:type="dxa"/>
            <w:gridSpan w:val="3"/>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西厂区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厂界外下风向浓度最高点设3个监控点，</w:t>
            </w:r>
            <w:r>
              <w:rPr>
                <w:rFonts w:hint="eastAsia" w:ascii="Times New Roman" w:hAnsi="Times New Roman" w:eastAsia="宋体" w:cs="Times New Roman"/>
                <w:lang w:val="en-US" w:eastAsia="zh-CN"/>
              </w:rPr>
              <w:t>生产车间</w:t>
            </w:r>
            <w:r>
              <w:rPr>
                <w:rFonts w:hint="eastAsia" w:ascii="Times New Roman" w:hAnsi="Times New Roman" w:eastAsia="宋体" w:cs="Times New Roman"/>
              </w:rPr>
              <w:t>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w:t>
            </w:r>
            <w:r>
              <w:rPr>
                <w:rFonts w:hint="eastAsia" w:ascii="Times New Roman" w:hAnsi="Times New Roman" w:eastAsia="宋体" w:cs="Times New Roman"/>
              </w:rPr>
              <w:t>下风向浓度最高点设3个监控点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氨</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505" w:type="dxa"/>
            <w:gridSpan w:val="3"/>
            <w:vAlign w:val="center"/>
          </w:tcPr>
          <w:p>
            <w:pPr>
              <w:spacing w:line="240" w:lineRule="auto"/>
              <w:ind w:right="139" w:rightChars="66"/>
              <w:jc w:val="center"/>
              <w:rPr>
                <w:rFonts w:hint="eastAsia" w:ascii="Times New Roman" w:hAnsi="Times New Roman" w:eastAsia="宋体" w:cs="Times New Roman"/>
                <w:b w:val="0"/>
                <w:bCs/>
                <w:kern w:val="0"/>
                <w:szCs w:val="21"/>
                <w:lang w:val="en-US" w:eastAsia="zh-CN"/>
              </w:rPr>
            </w:pPr>
            <w:r>
              <w:rPr>
                <w:rFonts w:hint="eastAsia" w:ascii="Times New Roman" w:hAnsi="Times New Roman" w:eastAsia="宋体" w:cs="Times New Roman"/>
                <w:b w:val="0"/>
                <w:bCs/>
                <w:kern w:val="0"/>
                <w:szCs w:val="21"/>
                <w:lang w:val="en-US" w:eastAsia="zh-CN"/>
              </w:rPr>
              <w:t>东厂区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505"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val="en-US" w:eastAsia="zh-CN"/>
              </w:rPr>
            </w:pPr>
            <w:bookmarkStart w:id="86" w:name="_Toc504325367"/>
            <w:r>
              <w:rPr>
                <w:rFonts w:hint="eastAsia" w:ascii="Times New Roman" w:hAnsi="Times New Roman" w:eastAsia="宋体" w:cs="Times New Roman"/>
                <w:kern w:val="0"/>
                <w:szCs w:val="21"/>
                <w:lang w:val="en-US" w:eastAsia="zh-CN"/>
              </w:rPr>
              <w:t>西厂区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jc w:val="center"/>
        </w:trPr>
        <w:tc>
          <w:tcPr>
            <w:tcW w:w="1362" w:type="dxa"/>
            <w:tcBorders>
              <w:tl2br w:val="nil"/>
              <w:tr2bl w:val="nil"/>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869" w:type="dxa"/>
            <w:tcBorders>
              <w:tl2br w:val="nil"/>
              <w:tr2bl w:val="nil"/>
            </w:tcBorders>
            <w:vAlign w:val="center"/>
          </w:tcPr>
          <w:p>
            <w:pPr>
              <w:pStyle w:val="2"/>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总烃、甲烷和非甲烷总烃的测定 气相色谱法》</w:t>
            </w:r>
          </w:p>
          <w:p>
            <w:pPr>
              <w:pStyle w:val="2"/>
              <w:snapToGrid w:val="0"/>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LB-8L真空箱气袋采样器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（YQ 002-0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1362" w:type="dxa"/>
            <w:tcBorders>
              <w:tl2br w:val="nil"/>
              <w:tr2bl w:val="nil"/>
            </w:tcBorders>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颗粒物</w:t>
            </w:r>
          </w:p>
        </w:tc>
        <w:tc>
          <w:tcPr>
            <w:tcW w:w="28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 低浓度颗粒物的测定 重量法》</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HJ 836-2017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1.0mg/m</w:t>
            </w:r>
            <w:r>
              <w:rPr>
                <w:rFonts w:hint="default" w:ascii="Times New Roman" w:hAnsi="Times New Roman" w:eastAsia="宋体" w:cs="Times New Roman"/>
                <w:color w:val="auto"/>
                <w:sz w:val="21"/>
                <w:szCs w:val="21"/>
                <w:vertAlign w:val="superscript"/>
              </w:rPr>
              <w:t>3</w:t>
            </w:r>
          </w:p>
        </w:tc>
        <w:tc>
          <w:tcPr>
            <w:tcW w:w="29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101-2AB电热鼓风干燥箱</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015-01）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AUW220D岛津电子天平</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009-03）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H06恒温恒湿室  </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（YQ 053-01）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氨</w:t>
            </w:r>
          </w:p>
        </w:tc>
        <w:tc>
          <w:tcPr>
            <w:tcW w:w="28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《环境空气和废气</w:t>
            </w:r>
            <w:r>
              <w:rPr>
                <w:rFonts w:hint="default" w:ascii="Times New Roman" w:hAnsi="Times New Roman" w:eastAsia="宋体" w:cs="Times New Roman"/>
                <w:sz w:val="21"/>
                <w:szCs w:val="21"/>
                <w:lang w:val="en-US" w:eastAsia="zh-CN"/>
              </w:rPr>
              <w:t xml:space="preserve"> 氨的测定 纳氏试剂分光光度法</w:t>
            </w:r>
            <w:r>
              <w:rPr>
                <w:rFonts w:hint="default" w:ascii="Times New Roman" w:hAnsi="Times New Roman" w:eastAsia="宋体" w:cs="Times New Roman"/>
                <w:sz w:val="21"/>
                <w:szCs w:val="21"/>
                <w:lang w:eastAsia="zh-CN"/>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HJ 533-2009</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0.25</w:t>
            </w: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c>
          <w:tcPr>
            <w:tcW w:w="29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ZR-3710双路烟气采样器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032-03）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UV752型紫外可见分光光度计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（YQ 006-01）</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1272" w:type="dxa"/>
            <w:tcBorders>
              <w:tl2br w:val="nil"/>
              <w:tr2bl w:val="nil"/>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667" w:type="dxa"/>
            <w:tcBorders>
              <w:tl2br w:val="nil"/>
              <w:tr2bl w:val="nil"/>
            </w:tcBorders>
            <w:vAlign w:val="center"/>
          </w:tcPr>
          <w:p>
            <w:pPr>
              <w:pStyle w:val="2"/>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总烃、甲烷和非甲烷总烃的测定 直接进样-气相色谱法》</w:t>
            </w:r>
          </w:p>
          <w:p>
            <w:pPr>
              <w:pStyle w:val="2"/>
              <w:snapToGrid w:val="0"/>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0.07mg/m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DL-6800</w:t>
            </w:r>
            <w:r>
              <w:rPr>
                <w:rFonts w:hint="default" w:ascii="Times New Roman" w:hAnsi="Times New Roman" w:eastAsia="宋体" w:cs="Times New Roman"/>
                <w:color w:val="auto"/>
                <w:sz w:val="21"/>
                <w:szCs w:val="21"/>
              </w:rPr>
              <w:t>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w:t>
            </w:r>
            <w:r>
              <w:rPr>
                <w:rFonts w:hint="default"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（YQ 002-0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1272" w:type="dxa"/>
            <w:tcBorders>
              <w:tl2br w:val="nil"/>
              <w:tr2bl w:val="nil"/>
            </w:tcBorders>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总悬浮颗粒物</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w:t>
            </w:r>
          </w:p>
          <w:p>
            <w:pPr>
              <w:pStyle w:val="2"/>
              <w:snapToGrid w:val="0"/>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HJ 1263-2022</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7μ</w:t>
            </w:r>
            <w:r>
              <w:rPr>
                <w:rFonts w:hint="default" w:ascii="Times New Roman" w:hAnsi="Times New Roman" w:eastAsia="宋体" w:cs="Times New Roman"/>
                <w:kern w:val="0"/>
                <w:sz w:val="21"/>
                <w:szCs w:val="21"/>
              </w:rPr>
              <w:t>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ZR-3920环境空气颗粒物综合采样器（YQ 055-0</w:t>
            </w:r>
            <w:r>
              <w:rPr>
                <w:rFonts w:hint="default" w:ascii="Times New Roman" w:hAnsi="Times New Roman" w:eastAsia="宋体" w:cs="Times New Roman"/>
                <w:sz w:val="21"/>
                <w:szCs w:val="21"/>
                <w:lang w:val="en-US" w:eastAsia="zh-CN"/>
              </w:rPr>
              <w:t>1、02、03、04</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w:t>
            </w:r>
            <w:r>
              <w:rPr>
                <w:rFonts w:hint="default"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FA-2004B电子天平</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1272" w:type="dxa"/>
            <w:tcBorders>
              <w:tl2br w:val="nil"/>
              <w:tr2bl w:val="nil"/>
            </w:tcBorders>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氨</w:t>
            </w:r>
          </w:p>
        </w:tc>
        <w:tc>
          <w:tcPr>
            <w:tcW w:w="26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《环境空气和废气</w:t>
            </w:r>
            <w:r>
              <w:rPr>
                <w:rFonts w:hint="default" w:ascii="Times New Roman" w:hAnsi="Times New Roman" w:eastAsia="宋体" w:cs="Times New Roman"/>
                <w:sz w:val="21"/>
                <w:szCs w:val="21"/>
                <w:lang w:val="en-US" w:eastAsia="zh-CN"/>
              </w:rPr>
              <w:t xml:space="preserve"> 氨的测定 纳氏试剂分光光度法</w:t>
            </w:r>
            <w:r>
              <w:rPr>
                <w:rFonts w:hint="default" w:ascii="Times New Roman" w:hAnsi="Times New Roman" w:eastAsia="宋体" w:cs="Times New Roman"/>
                <w:sz w:val="21"/>
                <w:szCs w:val="21"/>
                <w:lang w:eastAsia="zh-CN"/>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HJ 533-2009</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0.01</w:t>
            </w: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ZR-3920环境空气颗粒物综合采样器（YQ 055-0</w:t>
            </w:r>
            <w:r>
              <w:rPr>
                <w:rFonts w:hint="default" w:ascii="Times New Roman" w:hAnsi="Times New Roman" w:eastAsia="宋体" w:cs="Times New Roman"/>
                <w:sz w:val="21"/>
                <w:szCs w:val="21"/>
                <w:lang w:val="en-US" w:eastAsia="zh-CN"/>
              </w:rPr>
              <w:t>1、02、03</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w:t>
            </w:r>
            <w:r>
              <w:rPr>
                <w:rFonts w:hint="default"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UV752型紫外可见分光光度计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（YQ 006-01）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2" w:hRule="exact"/>
          <w:jc w:val="center"/>
        </w:trPr>
        <w:tc>
          <w:tcPr>
            <w:tcW w:w="1134" w:type="dxa"/>
            <w:tcBorders>
              <w:top w:val="single" w:color="auto" w:sz="4" w:space="0"/>
              <w:right w:val="single" w:color="auto" w:sz="4" w:space="0"/>
            </w:tcBorders>
            <w:vAlign w:val="center"/>
          </w:tcPr>
          <w:p>
            <w:pPr>
              <w:snapToGrid w:val="0"/>
              <w:spacing w:line="220" w:lineRule="exact"/>
              <w:jc w:val="center"/>
              <w:rPr>
                <w:rFonts w:hint="default" w:ascii="Times New Roman" w:hAnsi="Times New Roman" w:eastAsia="宋体" w:cs="Times New Roman"/>
                <w:kern w:val="28"/>
                <w:sz w:val="21"/>
                <w:szCs w:val="21"/>
              </w:rPr>
            </w:pPr>
            <w:r>
              <w:rPr>
                <w:rFonts w:hint="default" w:ascii="Times New Roman" w:hAnsi="Times New Roman" w:eastAsia="宋体" w:cs="Times New Roman"/>
                <w:sz w:val="21"/>
                <w:szCs w:val="21"/>
              </w:rPr>
              <w:t>工业企业</w:t>
            </w:r>
            <w:r>
              <w:rPr>
                <w:rFonts w:hint="default" w:ascii="Times New Roman" w:hAnsi="Times New Roman" w:eastAsia="宋体" w:cs="Times New Roman"/>
                <w:kern w:val="28"/>
                <w:sz w:val="21"/>
                <w:szCs w:val="21"/>
              </w:rPr>
              <w:t>厂界</w:t>
            </w:r>
          </w:p>
          <w:p>
            <w:pPr>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8"/>
                <w:sz w:val="21"/>
                <w:szCs w:val="21"/>
              </w:rPr>
              <w:t>环境噪声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《工业企业厂界环境噪声排放标准》GB 12348-2008</w:t>
            </w:r>
          </w:p>
        </w:tc>
        <w:tc>
          <w:tcPr>
            <w:tcW w:w="3827" w:type="dxa"/>
            <w:tcBorders>
              <w:top w:val="single" w:color="auto" w:sz="4" w:space="0"/>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w:t>
            </w:r>
            <w:r>
              <w:rPr>
                <w:rFonts w:hint="default" w:ascii="Times New Roman" w:hAnsi="Times New Roman" w:eastAsia="宋体" w:cs="Times New Roman"/>
                <w:color w:val="auto"/>
                <w:sz w:val="21"/>
                <w:szCs w:val="21"/>
                <w:lang w:val="en-US" w:eastAsia="zh-CN"/>
              </w:rPr>
              <w:t>5688</w:t>
            </w:r>
            <w:r>
              <w:rPr>
                <w:rFonts w:hint="default" w:ascii="Times New Roman" w:hAnsi="Times New Roman" w:eastAsia="宋体" w:cs="Times New Roman"/>
                <w:color w:val="auto"/>
                <w:sz w:val="21"/>
                <w:szCs w:val="21"/>
              </w:rPr>
              <w:t>多功能声级计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w:t>
            </w:r>
            <w:r>
              <w:rPr>
                <w:rFonts w:hint="default" w:ascii="Times New Roman" w:hAnsi="Times New Roman" w:eastAsia="宋体" w:cs="Times New Roman"/>
                <w:color w:val="auto"/>
                <w:sz w:val="21"/>
                <w:szCs w:val="21"/>
                <w:lang w:val="en-US" w:eastAsia="zh-CN"/>
              </w:rPr>
              <w:t>5-01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AWA6021A声校准器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FYF-1型轻便</w:t>
            </w:r>
            <w:r>
              <w:rPr>
                <w:rFonts w:hint="default" w:ascii="Times New Roman" w:hAnsi="Times New Roman" w:eastAsia="宋体" w:cs="Times New Roman"/>
                <w:color w:val="auto"/>
                <w:sz w:val="21"/>
                <w:szCs w:val="21"/>
              </w:rPr>
              <w:t>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rFonts w:hint="default" w:ascii="Times New Roman" w:hAnsi="Times New Roman" w:cs="Times New Roman"/>
          <w:b/>
          <w:spacing w:val="0"/>
          <w:sz w:val="28"/>
          <w:szCs w:val="28"/>
          <w:lang w:eastAsia="zh-CN"/>
        </w:rPr>
        <w:pict>
          <v:shape id="Object 58" o:spid="_x0000_s1199" o:spt="75" type="#_x0000_t75" style="position:absolute;left:0pt;margin-left:-12.6pt;margin-top:8.55pt;height:211.85pt;width:217.4pt;z-index:-251652096;mso-width-relative:page;mso-height-relative:page;" o:ole="t" filled="f" o:preferrelative="t" stroked="f" coordsize="21600,21600">
            <v:path/>
            <v:fill on="f" focussize="0,0"/>
            <v:stroke on="f"/>
            <v:imagedata r:id="rId11" croptop="3689f" cropbottom="1316f" o:title=""/>
            <o:lock v:ext="edit" aspectratio="f"/>
          </v:shape>
          <o:OLEObject Type="Embed" ProgID="Visio.Drawing.11" ShapeID="Object 58" DrawAspect="Content" ObjectID="_1468075726" r:id="rId10">
            <o:LockedField>false</o:LockedField>
          </o:OLEObject>
        </w:pict>
      </w:r>
      <w:r>
        <w:rPr>
          <w:rFonts w:hint="default" w:ascii="Times New Roman" w:hAnsi="Times New Roman" w:cs="Times New Roman"/>
          <w:b/>
          <w:spacing w:val="0"/>
          <w:sz w:val="28"/>
          <w:szCs w:val="28"/>
          <w:lang w:eastAsia="zh-CN"/>
        </w:rPr>
        <w:pict>
          <v:shape id="_x0000_s1198" o:spid="_x0000_s1198" o:spt="75" type="#_x0000_t75" style="position:absolute;left:0pt;margin-left:201pt;margin-top:8.55pt;height:211.85pt;width:217.4pt;z-index:-251650048;mso-width-relative:page;mso-height-relative:page;" o:ole="t" filled="f" o:preferrelative="t" stroked="f" coordsize="21600,21600">
            <v:path/>
            <v:fill on="f" focussize="0,0"/>
            <v:stroke on="f"/>
            <v:imagedata r:id="rId13" croptop="3689f" cropbottom="1316f" o:title=""/>
            <o:lock v:ext="edit" aspectratio="f"/>
          </v:shape>
          <o:OLEObject Type="Embed" ProgID="Visio.Drawing.11" ShapeID="_x0000_s1198" DrawAspect="Content" ObjectID="_1468075727" r:id="rId12">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cs="Times New Roman"/>
          <w:b/>
          <w:spacing w:val="0"/>
          <w:sz w:val="28"/>
          <w:szCs w:val="28"/>
          <w:lang w:eastAsia="zh-CN"/>
        </w:rPr>
        <w:pict>
          <v:shape id="_x0000_s1201" o:spid="_x0000_s1201" o:spt="75" type="#_x0000_t75" style="position:absolute;left:0pt;margin-left:3.4pt;margin-top:5.05pt;height:204.65pt;width:193.65pt;z-index:-251649024;mso-width-relative:page;mso-height-relative:page;" o:ole="t" filled="f" o:preferrelative="t" stroked="f" coordsize="21600,21600">
            <v:path/>
            <v:fill on="f" focussize="0,0"/>
            <v:stroke on="f"/>
            <v:imagedata r:id="rId15" croptop="3689f" cropbottom="1316f" o:title=""/>
            <o:lock v:ext="edit" aspectratio="f"/>
          </v:shape>
          <o:OLEObject Type="Embed" ProgID="Visio.Drawing.11" ShapeID="_x0000_s1201" DrawAspect="Content" ObjectID="_1468075728" r:id="rId14">
            <o:LockedField>false</o:LockedField>
          </o:OLEObject>
        </w:pict>
      </w:r>
      <w:r>
        <w:rPr>
          <w:rFonts w:hint="default" w:ascii="Times New Roman" w:hAnsi="Times New Roman" w:cs="Times New Roman"/>
          <w:b/>
          <w:spacing w:val="0"/>
          <w:sz w:val="28"/>
          <w:szCs w:val="28"/>
          <w:lang w:eastAsia="zh-CN"/>
        </w:rPr>
        <w:pict>
          <v:shape id="_x0000_s1200" o:spid="_x0000_s1200" o:spt="75" type="#_x0000_t75" style="position:absolute;left:0pt;margin-left:219.4pt;margin-top:5.05pt;height:204.65pt;width:193.65pt;z-index:-251648000;mso-width-relative:page;mso-height-relative:page;" o:ole="t" filled="f" o:preferrelative="t" stroked="f" coordsize="21600,21600">
            <v:path/>
            <v:fill on="f" focussize="0,0"/>
            <v:stroke on="f"/>
            <v:imagedata r:id="rId17" croptop="3689f" cropbottom="1316f" o:title=""/>
            <o:lock v:ext="edit" aspectratio="f"/>
          </v:shape>
          <o:OLEObject Type="Embed" ProgID="Visio.Drawing.11" ShapeID="_x0000_s1200" DrawAspect="Content" ObjectID="_1468075729" r:id="rId16">
            <o:LockedField>false</o:LockedField>
          </o:OLEObject>
        </w:pict>
      </w: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504325371"/>
      <w:bookmarkStart w:id="91" w:name="_Toc497001486"/>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DA001混料入机挤出工序</w:t>
            </w:r>
            <w:r>
              <w:rPr>
                <w:rFonts w:hint="default" w:ascii="Times New Roman" w:hAnsi="Times New Roman" w:eastAsia="宋体" w:cs="Times New Roman"/>
                <w:sz w:val="21"/>
                <w:szCs w:val="21"/>
              </w:rPr>
              <w:t>废气排气筒进口</w:t>
            </w:r>
          </w:p>
          <w:p>
            <w:pPr>
              <w:pStyle w:val="2"/>
              <w:ind w:left="0" w:leftChars="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2023.02.20</w:t>
            </w:r>
          </w:p>
        </w:tc>
        <w:tc>
          <w:tcPr>
            <w:tcW w:w="1969"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4006</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4040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kern w:val="0"/>
                <w:sz w:val="21"/>
                <w:szCs w:val="21"/>
                <w:lang w:val="en-US" w:eastAsia="zh-CN" w:bidi="ar"/>
              </w:rPr>
              <w:t>4084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4084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6.05</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6.41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kern w:val="0"/>
                <w:sz w:val="21"/>
                <w:szCs w:val="21"/>
                <w:lang w:val="en-US" w:eastAsia="zh-CN" w:bidi="ar"/>
              </w:rPr>
              <w:t>6.23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6.41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DA001混料入机挤出工序</w:t>
            </w:r>
            <w:r>
              <w:rPr>
                <w:rFonts w:hint="default" w:ascii="Times New Roman" w:hAnsi="Times New Roman" w:eastAsia="宋体" w:cs="Times New Roman"/>
                <w:sz w:val="21"/>
                <w:szCs w:val="21"/>
              </w:rPr>
              <w:t>废气排气筒出口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2023.02.20</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lang w:val="en-US" w:eastAsia="zh-CN" w:bidi="ar-SA"/>
              </w:rPr>
              <w:t>4169</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lang w:val="en-US" w:eastAsia="zh-CN" w:bidi="ar-SA"/>
              </w:rPr>
              <w:t>4126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4154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2"/>
                <w:sz w:val="21"/>
                <w:szCs w:val="21"/>
                <w:lang w:val="en-US" w:eastAsia="zh-CN" w:bidi="ar-SA"/>
              </w:rPr>
              <w:t>4169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2.4</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1.9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9.49</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7.89×10</w:t>
            </w:r>
            <w:r>
              <w:rPr>
                <w:rFonts w:hint="default" w:ascii="Times New Roman" w:hAnsi="Times New Roman" w:eastAsia="宋体" w:cs="Times New Roman"/>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1.00×10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5.7</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5.6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2.38</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2.27</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2.33×10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2.38×10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非甲烷总烃排放浓度</w:t>
            </w:r>
          </w:p>
        </w:tc>
        <w:tc>
          <w:tcPr>
            <w:tcW w:w="727" w:type="dxa"/>
            <w:vAlign w:val="center"/>
          </w:tcPr>
          <w:p>
            <w:pPr>
              <w:spacing w:line="2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3.51</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3.14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kern w:val="0"/>
                <w:sz w:val="21"/>
                <w:szCs w:val="21"/>
                <w:lang w:val="en-US" w:eastAsia="zh-CN" w:bidi="ar"/>
              </w:rPr>
              <w:t>3.26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3.51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lang w:val="en-US" w:eastAsia="zh-CN"/>
              </w:rPr>
              <w:t>45.6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DA001混料入机挤出工序废气排气筒进口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2023.02.21</w:t>
            </w:r>
          </w:p>
        </w:tc>
        <w:tc>
          <w:tcPr>
            <w:tcW w:w="1969" w:type="dxa"/>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3894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3938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3924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3938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6.13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6.47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6.32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sz w:val="21"/>
                <w:szCs w:val="21"/>
                <w:lang w:val="en-US" w:eastAsia="zh-CN"/>
              </w:rPr>
              <w:t>6.47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restart"/>
            <w:tcBorders>
              <w:left w:val="single" w:color="auto" w:sz="4" w:space="0"/>
            </w:tcBorders>
            <w:vAlign w:val="center"/>
          </w:tcPr>
          <w:p>
            <w:pPr>
              <w:adjustRightInd w:val="0"/>
              <w:snapToGrid w:val="0"/>
              <w:spacing w:line="2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DA001混料入机挤出工序</w:t>
            </w:r>
            <w:r>
              <w:rPr>
                <w:rFonts w:hint="default" w:ascii="Times New Roman" w:hAnsi="Times New Roman" w:eastAsia="宋体" w:cs="Times New Roman"/>
                <w:sz w:val="21"/>
                <w:szCs w:val="21"/>
              </w:rPr>
              <w:t>废气排气筒出口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2023.02.21</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4066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4038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4101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4101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1.8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8.13</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8.48</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7.38</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8.48</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表5（20）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2.36</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2.38</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2.42</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2.42</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非甲烷总烃排放浓度</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3.05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3.43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3.24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3.43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46.7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eastAsia="zh-CN"/>
              </w:rPr>
              <w:t>混料入机挤出工序</w:t>
            </w:r>
            <w:r>
              <w:rPr>
                <w:rFonts w:hint="default" w:ascii="Times New Roman" w:hAnsi="Times New Roman" w:eastAsia="宋体" w:cs="Times New Roman"/>
                <w:color w:val="auto"/>
                <w:kern w:val="0"/>
                <w:sz w:val="21"/>
                <w:szCs w:val="21"/>
              </w:rPr>
              <w:t>废气排气筒进口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0</w:t>
            </w: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4801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4763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4997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4997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6.12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5.97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6.35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6.35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eastAsia="zh-CN"/>
              </w:rPr>
              <w:t>混料入机挤出工序废气排气筒出口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0</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5226</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5153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5058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5226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1.36</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1.49</w:t>
            </w:r>
            <w:r>
              <w:rPr>
                <w:rFonts w:hint="default" w:ascii="Times New Roman" w:hAnsi="Times New Roman" w:eastAsia="宋体" w:cs="Times New Roman"/>
                <w:kern w:val="0"/>
                <w:sz w:val="21"/>
                <w:szCs w:val="21"/>
                <w:lang w:val="en-US" w:eastAsia="zh-CN" w:bidi="ar"/>
              </w:rPr>
              <w:t>×10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1.11×10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1.49×10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000000"/>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2.99</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3.21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3.13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3.21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46.4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eastAsia="zh-CN"/>
              </w:rPr>
              <w:t>混料入机挤出工序</w:t>
            </w:r>
            <w:r>
              <w:rPr>
                <w:rFonts w:hint="default" w:ascii="Times New Roman" w:hAnsi="Times New Roman" w:eastAsia="宋体" w:cs="Times New Roman"/>
                <w:color w:val="auto"/>
                <w:kern w:val="0"/>
                <w:sz w:val="21"/>
                <w:szCs w:val="21"/>
              </w:rPr>
              <w:t>废气排气筒进口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1</w:t>
            </w: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4882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4976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4969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4976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6.35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6.51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6.17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6.51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eastAsia="zh-CN"/>
              </w:rPr>
              <w:t>混料入机挤出工序废气排气筒出口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1</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5150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5035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5074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5150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3.6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1.85×10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1.61×10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1.93×10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1.93×10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000000"/>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3.61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3.26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3.43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3.61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44.3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eastAsia="zh-CN"/>
              </w:rPr>
              <w:t>入机、加热、挤出工序</w:t>
            </w:r>
            <w:r>
              <w:rPr>
                <w:rFonts w:hint="default" w:ascii="Times New Roman" w:hAnsi="Times New Roman" w:eastAsia="宋体" w:cs="Times New Roman"/>
                <w:color w:val="auto"/>
                <w:kern w:val="0"/>
                <w:sz w:val="21"/>
                <w:szCs w:val="21"/>
              </w:rPr>
              <w:t>废气排气筒进口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0</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5314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5226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5297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5314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6.19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6.53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6.32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6.53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eastAsia="zh-CN"/>
              </w:rPr>
              <w:t>入机、加热、挤出工序废气排气筒出口</w:t>
            </w:r>
          </w:p>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0</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5402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5491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5385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5491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1.62×10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1.26×10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1.40×10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1.62×10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000000"/>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3.22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3.61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3.45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3.61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val="en-US" w:eastAsia="zh-CN"/>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44.5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eastAsia="zh-CN"/>
              </w:rPr>
              <w:t>入机、加热、挤出工序</w:t>
            </w:r>
            <w:r>
              <w:rPr>
                <w:rFonts w:hint="default" w:ascii="Times New Roman" w:hAnsi="Times New Roman" w:eastAsia="宋体" w:cs="Times New Roman"/>
                <w:color w:val="auto"/>
                <w:kern w:val="0"/>
                <w:sz w:val="21"/>
                <w:szCs w:val="21"/>
              </w:rPr>
              <w:t>废气排气筒进口</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1</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5197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5176</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5231</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5231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6.03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6.42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6.25</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6.42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DA00</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eastAsia="zh-CN"/>
              </w:rPr>
              <w:t>入机、加热、挤出工序废气排气筒出口</w:t>
            </w:r>
          </w:p>
          <w:p>
            <w:pPr>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eastAsia="zh-CN"/>
              </w:rPr>
              <w:t>2023.02.2</w:t>
            </w:r>
            <w:r>
              <w:rPr>
                <w:rFonts w:hint="default" w:ascii="Times New Roman" w:hAnsi="Times New Roman" w:eastAsia="宋体" w:cs="Times New Roman"/>
                <w:color w:val="auto"/>
                <w:kern w:val="0"/>
                <w:sz w:val="21"/>
                <w:szCs w:val="21"/>
                <w:lang w:val="en-US" w:eastAsia="zh-CN"/>
              </w:rPr>
              <w:t>1</w:t>
            </w: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5178</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5340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5233</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5340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2.8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氨排放速率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1.40×10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1.28×10</w:t>
            </w:r>
            <w:r>
              <w:rPr>
                <w:rFonts w:hint="default" w:ascii="Times New Roman" w:hAnsi="Times New Roman" w:eastAsia="宋体" w:cs="Times New Roman"/>
                <w:kern w:val="0"/>
                <w:sz w:val="21"/>
                <w:szCs w:val="21"/>
                <w:vertAlign w:val="superscript"/>
                <w:lang w:val="en-US" w:eastAsia="zh-CN" w:bidi="ar"/>
              </w:rPr>
              <w:t>-2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1.47×10</w:t>
            </w:r>
            <w:r>
              <w:rPr>
                <w:rFonts w:hint="default" w:ascii="Times New Roman" w:hAnsi="Times New Roman" w:eastAsia="宋体" w:cs="Times New Roman"/>
                <w:kern w:val="0"/>
                <w:sz w:val="21"/>
                <w:szCs w:val="21"/>
                <w:vertAlign w:val="superscript"/>
                <w:lang w:val="en-US" w:eastAsia="zh-CN" w:bidi="ar"/>
              </w:rPr>
              <w:t>-2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1.47×10</w:t>
            </w:r>
            <w:r>
              <w:rPr>
                <w:rFonts w:hint="default" w:ascii="Times New Roman" w:hAnsi="Times New Roman" w:eastAsia="宋体" w:cs="Times New Roman"/>
                <w:kern w:val="0"/>
                <w:sz w:val="21"/>
                <w:szCs w:val="21"/>
                <w:vertAlign w:val="superscript"/>
                <w:lang w:val="en-US" w:eastAsia="zh-CN" w:bidi="ar"/>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000000"/>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3.17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3.53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3.34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3.53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bidi="ar"/>
              </w:rPr>
              <w:t>45.8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3495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年运行2400小时；</w:t>
            </w:r>
          </w:p>
        </w:tc>
      </w:tr>
    </w:tbl>
    <w:p>
      <w:pPr>
        <w:pStyle w:val="6"/>
        <w:rPr>
          <w:rFonts w:hint="default" w:ascii="Times New Roman" w:hAnsi="Times New Roman" w:cs="Times New Roman"/>
        </w:rPr>
      </w:pPr>
      <w:bookmarkStart w:id="92" w:name="_Toc504325372"/>
      <w:bookmarkStart w:id="93" w:name="_Toc503969735"/>
      <w:bookmarkStart w:id="94" w:name="_Toc503681484"/>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504325373"/>
      <w:bookmarkStart w:id="96" w:name="_Toc497001489"/>
      <w:r>
        <w:rPr>
          <w:rFonts w:hint="default" w:ascii="Times New Roman" w:hAnsi="Times New Roman" w:eastAsia="宋体" w:cs="Times New Roman"/>
          <w:b w:val="0"/>
          <w:bCs w:val="0"/>
          <w:sz w:val="24"/>
          <w:szCs w:val="24"/>
        </w:rPr>
        <w:t>表7-</w:t>
      </w: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 xml:space="preserve"> </w:t>
      </w:r>
      <w:r>
        <w:rPr>
          <w:rFonts w:hint="eastAsia" w:ascii="Times New Roman" w:hAnsi="Times New Roman" w:eastAsia="宋体" w:cs="Times New Roman"/>
          <w:b w:val="0"/>
          <w:bCs w:val="0"/>
          <w:sz w:val="24"/>
          <w:szCs w:val="24"/>
          <w:lang w:val="en-US" w:eastAsia="zh-CN"/>
        </w:rPr>
        <w:t>东厂区</w:t>
      </w:r>
      <w:r>
        <w:rPr>
          <w:rFonts w:hint="default" w:ascii="Times New Roman" w:hAnsi="Times New Roman" w:eastAsia="宋体" w:cs="Times New Roman"/>
          <w:b w:val="0"/>
          <w:bCs w:val="0"/>
          <w:sz w:val="24"/>
          <w:szCs w:val="24"/>
        </w:rPr>
        <w:t>无组织检测结果</w:t>
      </w:r>
      <w:r>
        <w:rPr>
          <w:rFonts w:hint="default" w:ascii="Times New Roman" w:hAnsi="Times New Roman" w:eastAsia="宋体" w:cs="Times New Roman"/>
          <w:b w:val="0"/>
          <w:bCs w:val="0"/>
          <w:sz w:val="21"/>
          <w:szCs w:val="21"/>
          <w:lang w:eastAsia="zh-CN"/>
        </w:rPr>
        <w:t>（单位：</w:t>
      </w: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r>
        <w:rPr>
          <w:rFonts w:hint="eastAsia" w:ascii="Times New Roman" w:hAnsi="Times New Roman" w:eastAsia="宋体" w:cs="Times New Roman"/>
          <w:b w:val="0"/>
          <w:bCs w:val="0"/>
          <w:sz w:val="21"/>
          <w:szCs w:val="21"/>
          <w:vertAlign w:val="baseline"/>
          <w:lang w:eastAsia="zh-CN"/>
        </w:rPr>
        <w:t>；</w:t>
      </w:r>
      <w:r>
        <w:rPr>
          <w:rFonts w:hint="default" w:ascii="Times New Roman" w:hAnsi="Times New Roman" w:eastAsia="宋体" w:cs="Times New Roman"/>
          <w:b w:val="0"/>
          <w:bCs w:val="0"/>
          <w:spacing w:val="0"/>
          <w:sz w:val="21"/>
          <w:szCs w:val="21"/>
          <w:vertAlign w:val="baseline"/>
          <w:lang w:val="en-US" w:eastAsia="zh-CN"/>
        </w:rPr>
        <w:t>总悬浮颗粒物单位：</w:t>
      </w:r>
      <w:r>
        <w:rPr>
          <w:rFonts w:hint="default" w:ascii="Times New Roman" w:hAnsi="Times New Roman" w:eastAsia="宋体" w:cs="Times New Roman"/>
          <w:b w:val="0"/>
          <w:bCs w:val="0"/>
          <w:color w:val="auto"/>
          <w:sz w:val="21"/>
          <w:szCs w:val="21"/>
          <w:lang w:eastAsia="zh-CN"/>
        </w:rPr>
        <w:t>μ</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8"/>
        <w:gridCol w:w="1325"/>
        <w:gridCol w:w="1021"/>
        <w:gridCol w:w="1021"/>
        <w:gridCol w:w="1021"/>
        <w:gridCol w:w="1021"/>
        <w:gridCol w:w="2197"/>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spacing w:val="0"/>
                <w:sz w:val="21"/>
                <w:szCs w:val="21"/>
              </w:rPr>
              <w:t>及</w:t>
            </w:r>
            <w:r>
              <w:rPr>
                <w:rFonts w:hint="default" w:ascii="Times New Roman" w:hAnsi="Times New Roman" w:eastAsia="宋体" w:cs="Times New Roman"/>
                <w:spacing w:val="0"/>
                <w:sz w:val="21"/>
                <w:szCs w:val="21"/>
                <w:lang w:val="en-US" w:eastAsia="zh-CN"/>
              </w:rPr>
              <w:t>日期</w:t>
            </w:r>
          </w:p>
        </w:tc>
        <w:tc>
          <w:tcPr>
            <w:tcW w:w="132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点位</w:t>
            </w:r>
          </w:p>
        </w:tc>
        <w:tc>
          <w:tcPr>
            <w:tcW w:w="3063" w:type="dxa"/>
            <w:gridSpan w:val="3"/>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lang w:val="en-US" w:eastAsia="zh-CN"/>
              </w:rPr>
              <w:t>测结果及频次</w:t>
            </w:r>
          </w:p>
        </w:tc>
        <w:tc>
          <w:tcPr>
            <w:tcW w:w="1021"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最大值</w:t>
            </w:r>
          </w:p>
        </w:tc>
        <w:tc>
          <w:tcPr>
            <w:tcW w:w="2197"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8"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2</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3</w:t>
            </w:r>
          </w:p>
        </w:tc>
        <w:tc>
          <w:tcPr>
            <w:tcW w:w="1021"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60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2023.02.20</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0.99</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0.94</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0.88</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0.93</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0.97</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0.89</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0.95</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0.87</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南生产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1.75</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1.66</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1.83</w:t>
            </w:r>
          </w:p>
        </w:tc>
        <w:tc>
          <w:tcPr>
            <w:tcW w:w="1021"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1.83</w:t>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北生产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1.77</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1.96</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1.84</w:t>
            </w:r>
          </w:p>
        </w:tc>
        <w:tc>
          <w:tcPr>
            <w:tcW w:w="1021"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1.96</w:t>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bl>
    <w:p>
      <w:pPr>
        <w:rPr>
          <w:rFonts w:hint="eastAsia"/>
          <w:lang w:val="en-US" w:eastAsia="zh-CN"/>
        </w:rPr>
      </w:pPr>
      <w:r>
        <w:rPr>
          <w:rFonts w:hint="eastAsia"/>
          <w:lang w:val="en-US" w:eastAsia="zh-CN"/>
        </w:rPr>
        <w:br w:type="page"/>
      </w:r>
    </w:p>
    <w:p>
      <w:pPr>
        <w:rPr>
          <w:rFonts w:hint="eastAsia" w:ascii="宋体" w:hAnsi="宋体" w:eastAsia="宋体" w:cs="宋体"/>
          <w:lang w:val="en-US" w:eastAsia="zh-CN"/>
        </w:rPr>
      </w:pPr>
      <w:r>
        <w:rPr>
          <w:rFonts w:hint="eastAsia" w:ascii="宋体" w:hAnsi="宋体" w:eastAsia="宋体" w:cs="宋体"/>
          <w:lang w:val="en-US" w:eastAsia="zh-CN"/>
        </w:rPr>
        <w:t>续上表</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8"/>
        <w:gridCol w:w="1325"/>
        <w:gridCol w:w="1021"/>
        <w:gridCol w:w="1021"/>
        <w:gridCol w:w="1021"/>
        <w:gridCol w:w="1021"/>
        <w:gridCol w:w="2197"/>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2023.02.21</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0.98</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0.89</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0.95</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0.99</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0.94</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0.88</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0.93</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0.86</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南生产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1.54</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1.72</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1.65</w:t>
            </w:r>
          </w:p>
        </w:tc>
        <w:tc>
          <w:tcPr>
            <w:tcW w:w="1021"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1.72</w:t>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北生产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1.77</w:t>
            </w:r>
          </w:p>
        </w:tc>
        <w:tc>
          <w:tcPr>
            <w:tcW w:w="1021"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1.68</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1.84</w:t>
            </w:r>
          </w:p>
        </w:tc>
        <w:tc>
          <w:tcPr>
            <w:tcW w:w="1021"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1.84</w:t>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总悬浮颗粒物</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2023.02.20</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232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222</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219</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528</w:t>
            </w:r>
          </w:p>
        </w:tc>
        <w:tc>
          <w:tcPr>
            <w:tcW w:w="2197"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 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508</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528</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500</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492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493</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489</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502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480</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505</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总悬浮颗粒物</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2023.02.21</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235</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223</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217</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538</w:t>
            </w:r>
          </w:p>
        </w:tc>
        <w:tc>
          <w:tcPr>
            <w:tcW w:w="2197"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 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538</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516</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533</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519</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532</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517</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501</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498</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497</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2023.02.20</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0.21</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0.19</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0.20</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0.25</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605"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0.24</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0.18</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0.25</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0.20</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0.22</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0.19</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2023.02.21</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0.20</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0.21</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0.18</w:t>
            </w:r>
          </w:p>
        </w:tc>
        <w:tc>
          <w:tcPr>
            <w:tcW w:w="1021"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0.26</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605"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0.22</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0.24</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0.26</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0.23</w:t>
            </w:r>
          </w:p>
        </w:tc>
        <w:tc>
          <w:tcPr>
            <w:tcW w:w="1021"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0.17</w:t>
            </w:r>
          </w:p>
        </w:tc>
        <w:tc>
          <w:tcPr>
            <w:tcW w:w="1021"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0.19</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bl>
    <w:p>
      <w:pP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br w:type="page"/>
      </w:r>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sz w:val="24"/>
          <w:szCs w:val="24"/>
        </w:rPr>
        <w:t>表7-</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 xml:space="preserve"> </w:t>
      </w:r>
      <w:r>
        <w:rPr>
          <w:rFonts w:hint="eastAsia" w:ascii="Times New Roman" w:hAnsi="Times New Roman" w:eastAsia="宋体" w:cs="Times New Roman"/>
          <w:b w:val="0"/>
          <w:bCs w:val="0"/>
          <w:sz w:val="24"/>
          <w:szCs w:val="24"/>
          <w:lang w:val="en-US" w:eastAsia="zh-CN"/>
        </w:rPr>
        <w:t>西厂区</w:t>
      </w:r>
      <w:r>
        <w:rPr>
          <w:rFonts w:hint="default" w:ascii="Times New Roman" w:hAnsi="Times New Roman" w:eastAsia="宋体" w:cs="Times New Roman"/>
          <w:b w:val="0"/>
          <w:bCs w:val="0"/>
          <w:sz w:val="24"/>
          <w:szCs w:val="24"/>
        </w:rPr>
        <w:t>无组织检测结果</w:t>
      </w:r>
      <w:r>
        <w:rPr>
          <w:rFonts w:hint="default" w:ascii="Times New Roman" w:hAnsi="Times New Roman" w:eastAsia="宋体" w:cs="Times New Roman"/>
          <w:b w:val="0"/>
          <w:bCs w:val="0"/>
          <w:sz w:val="21"/>
          <w:szCs w:val="21"/>
          <w:lang w:eastAsia="zh-CN"/>
        </w:rPr>
        <w:t>（单位：</w:t>
      </w: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8"/>
        <w:gridCol w:w="1325"/>
        <w:gridCol w:w="1021"/>
        <w:gridCol w:w="1021"/>
        <w:gridCol w:w="1021"/>
        <w:gridCol w:w="1021"/>
        <w:gridCol w:w="2197"/>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spacing w:val="0"/>
                <w:sz w:val="21"/>
                <w:szCs w:val="21"/>
              </w:rPr>
              <w:t>及</w:t>
            </w:r>
            <w:r>
              <w:rPr>
                <w:rFonts w:hint="default" w:ascii="Times New Roman" w:hAnsi="Times New Roman" w:eastAsia="宋体" w:cs="Times New Roman"/>
                <w:spacing w:val="0"/>
                <w:sz w:val="21"/>
                <w:szCs w:val="21"/>
                <w:lang w:val="en-US" w:eastAsia="zh-CN"/>
              </w:rPr>
              <w:t>日期</w:t>
            </w:r>
          </w:p>
        </w:tc>
        <w:tc>
          <w:tcPr>
            <w:tcW w:w="126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点位</w:t>
            </w:r>
          </w:p>
        </w:tc>
        <w:tc>
          <w:tcPr>
            <w:tcW w:w="2931" w:type="dxa"/>
            <w:gridSpan w:val="3"/>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lang w:val="en-US" w:eastAsia="zh-CN"/>
              </w:rPr>
              <w:t>测结果及频次</w:t>
            </w:r>
          </w:p>
        </w:tc>
        <w:tc>
          <w:tcPr>
            <w:tcW w:w="977"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最大值</w:t>
            </w:r>
          </w:p>
        </w:tc>
        <w:tc>
          <w:tcPr>
            <w:tcW w:w="2102"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268"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97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w:t>
            </w:r>
          </w:p>
        </w:tc>
        <w:tc>
          <w:tcPr>
            <w:tcW w:w="97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2</w:t>
            </w:r>
          </w:p>
        </w:tc>
        <w:tc>
          <w:tcPr>
            <w:tcW w:w="977"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3</w:t>
            </w:r>
          </w:p>
        </w:tc>
        <w:tc>
          <w:tcPr>
            <w:tcW w:w="977"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2023.02.20</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0.98</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0.90</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0.93</w:t>
            </w:r>
          </w:p>
        </w:tc>
        <w:tc>
          <w:tcPr>
            <w:tcW w:w="977"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1.04</w:t>
            </w:r>
          </w:p>
        </w:tc>
        <w:tc>
          <w:tcPr>
            <w:tcW w:w="210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0.95</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1.04</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79" w:type="dxa"/>
            <w:vMerge w:val="continue"/>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0.97</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0.88</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0.94</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79"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1.56</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1.72</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1.67</w:t>
            </w:r>
          </w:p>
        </w:tc>
        <w:tc>
          <w:tcPr>
            <w:tcW w:w="977"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1.72</w:t>
            </w:r>
          </w:p>
        </w:tc>
        <w:tc>
          <w:tcPr>
            <w:tcW w:w="210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579"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2023.02.21</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0.95</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1.04</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0.97</w:t>
            </w:r>
          </w:p>
        </w:tc>
        <w:tc>
          <w:tcPr>
            <w:tcW w:w="977"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1.04</w:t>
            </w:r>
          </w:p>
        </w:tc>
        <w:tc>
          <w:tcPr>
            <w:tcW w:w="210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0.88</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0.98</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0.89</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79"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0.93</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1.01</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0.94</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79"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生产</w:t>
            </w:r>
            <w:r>
              <w:rPr>
                <w:rFonts w:hint="default" w:ascii="Times New Roman" w:hAnsi="Times New Roman" w:eastAsia="宋体" w:cs="Times New Roman"/>
                <w:color w:val="auto"/>
                <w:sz w:val="21"/>
                <w:szCs w:val="21"/>
              </w:rPr>
              <w:t>车间门口外1m处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1.77</w:t>
            </w:r>
          </w:p>
        </w:tc>
        <w:tc>
          <w:tcPr>
            <w:tcW w:w="977" w:type="dxa"/>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1.96</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kern w:val="0"/>
                <w:sz w:val="21"/>
                <w:szCs w:val="21"/>
                <w:lang w:val="en-US" w:eastAsia="zh-CN" w:bidi="ar"/>
              </w:rPr>
              <w:t>1.87</w:t>
            </w:r>
          </w:p>
        </w:tc>
        <w:tc>
          <w:tcPr>
            <w:tcW w:w="977"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
              </w:rPr>
              <w:t>1.96</w:t>
            </w:r>
          </w:p>
        </w:tc>
        <w:tc>
          <w:tcPr>
            <w:tcW w:w="2102"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579"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2023.02.20</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0.29</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0.26</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0.30</w:t>
            </w:r>
          </w:p>
        </w:tc>
        <w:tc>
          <w:tcPr>
            <w:tcW w:w="977"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0.34</w:t>
            </w:r>
          </w:p>
        </w:tc>
        <w:tc>
          <w:tcPr>
            <w:tcW w:w="210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79"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0.32</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0.25</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0.25</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579"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0.27</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0.24</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0.34</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579"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2023.02.21</w:t>
            </w: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0.28</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0.25</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0.21</w:t>
            </w:r>
          </w:p>
        </w:tc>
        <w:tc>
          <w:tcPr>
            <w:tcW w:w="977"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0.29</w:t>
            </w:r>
          </w:p>
        </w:tc>
        <w:tc>
          <w:tcPr>
            <w:tcW w:w="210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579"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25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0.21</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0.26</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0.27</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579"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52"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z w:val="21"/>
                <w:szCs w:val="21"/>
                <w:lang w:eastAsia="zh-CN"/>
              </w:rPr>
            </w:pPr>
          </w:p>
        </w:tc>
        <w:tc>
          <w:tcPr>
            <w:tcW w:w="126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0.29</w:t>
            </w:r>
          </w:p>
        </w:tc>
        <w:tc>
          <w:tcPr>
            <w:tcW w:w="977"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0.22</w:t>
            </w:r>
          </w:p>
        </w:tc>
        <w:tc>
          <w:tcPr>
            <w:tcW w:w="977"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0.24</w:t>
            </w:r>
          </w:p>
        </w:tc>
        <w:tc>
          <w:tcPr>
            <w:tcW w:w="977"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
              </w:rPr>
            </w:pPr>
          </w:p>
        </w:tc>
        <w:tc>
          <w:tcPr>
            <w:tcW w:w="210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p>
        </w:tc>
        <w:tc>
          <w:tcPr>
            <w:tcW w:w="579"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bl>
    <w:p>
      <w:pPr>
        <w:spacing w:line="480" w:lineRule="atLeast"/>
        <w:jc w:val="center"/>
        <w:rPr>
          <w:rFonts w:hint="default" w:ascii="Times New Roman" w:hAnsi="Times New Roman" w:eastAsia="宋体" w:cs="Times New Roman"/>
          <w:sz w:val="21"/>
          <w:szCs w:val="21"/>
          <w:lang w:eastAsia="zh-CN"/>
        </w:rPr>
      </w:pPr>
    </w:p>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1"/>
        <w:tblpPr w:leftFromText="180" w:rightFromText="180" w:vertAnchor="text" w:tblpXSpec="center" w:tblpY="1"/>
        <w:tblOverlap w:val="never"/>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2237"/>
        <w:gridCol w:w="832"/>
        <w:gridCol w:w="832"/>
        <w:gridCol w:w="832"/>
        <w:gridCol w:w="835"/>
        <w:gridCol w:w="1878"/>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8" w:type="dxa"/>
            <w:gridSpan w:val="2"/>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监测点位</w:t>
            </w:r>
          </w:p>
        </w:tc>
        <w:tc>
          <w:tcPr>
            <w:tcW w:w="1570" w:type="dxa"/>
            <w:gridSpan w:val="2"/>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z w:val="21"/>
                <w:szCs w:val="21"/>
                <w:lang w:val="en-US" w:eastAsia="zh-CN"/>
              </w:rPr>
              <w:t>2023.02.20</w:t>
            </w:r>
          </w:p>
        </w:tc>
        <w:tc>
          <w:tcPr>
            <w:tcW w:w="1573" w:type="dxa"/>
            <w:gridSpan w:val="2"/>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z w:val="21"/>
                <w:szCs w:val="21"/>
                <w:lang w:val="en-US" w:eastAsia="zh-CN"/>
              </w:rPr>
              <w:t>2023.02.21</w:t>
            </w:r>
          </w:p>
        </w:tc>
        <w:tc>
          <w:tcPr>
            <w:tcW w:w="1772" w:type="dxa"/>
            <w:vMerge w:val="restart"/>
            <w:tcBorders>
              <w:tl2br w:val="nil"/>
              <w:tr2bl w:val="nil"/>
            </w:tcBorders>
            <w:vAlign w:val="center"/>
          </w:tcPr>
          <w:p>
            <w:pPr>
              <w:spacing w:line="28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1501"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8" w:type="dxa"/>
            <w:gridSpan w:val="2"/>
            <w:vMerge w:val="continue"/>
            <w:tcBorders>
              <w:tl2br w:val="nil"/>
              <w:tr2bl w:val="nil"/>
            </w:tcBorders>
            <w:vAlign w:val="center"/>
          </w:tcPr>
          <w:p>
            <w:pPr>
              <w:jc w:val="center"/>
              <w:rPr>
                <w:rFonts w:hint="default" w:ascii="Times New Roman" w:hAnsi="Times New Roman" w:eastAsia="宋体" w:cs="Times New Roman"/>
                <w:spacing w:val="0"/>
                <w:sz w:val="21"/>
                <w:szCs w:val="21"/>
              </w:rPr>
            </w:pPr>
          </w:p>
        </w:tc>
        <w:tc>
          <w:tcPr>
            <w:tcW w:w="785"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785"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夜间</w:t>
            </w:r>
          </w:p>
        </w:tc>
        <w:tc>
          <w:tcPr>
            <w:tcW w:w="785"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昼间</w:t>
            </w:r>
          </w:p>
        </w:tc>
        <w:tc>
          <w:tcPr>
            <w:tcW w:w="788"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夜间</w:t>
            </w:r>
          </w:p>
        </w:tc>
        <w:tc>
          <w:tcPr>
            <w:tcW w:w="1772"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c>
          <w:tcPr>
            <w:tcW w:w="1501"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restart"/>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东厂区</w:t>
            </w: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厂界外1m处（▲1#）</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57.4</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47.3</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57.4</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47.3</w:t>
            </w:r>
          </w:p>
        </w:tc>
        <w:tc>
          <w:tcPr>
            <w:tcW w:w="1772"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 12348-2008</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昼间：</w:t>
            </w:r>
            <w:r>
              <w:rPr>
                <w:rFonts w:hint="default" w:ascii="Times New Roman" w:hAnsi="Times New Roman" w:eastAsia="宋体" w:cs="Times New Roman"/>
                <w:sz w:val="21"/>
                <w:szCs w:val="21"/>
                <w:lang w:val="en-US" w:eastAsia="zh-CN"/>
              </w:rPr>
              <w:t>60</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夜间：50</w:t>
            </w:r>
          </w:p>
        </w:tc>
        <w:tc>
          <w:tcPr>
            <w:tcW w:w="1501" w:type="dxa"/>
            <w:tcBorders>
              <w:tl2br w:val="nil"/>
              <w:tr2bl w:val="nil"/>
            </w:tcBorders>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58.0</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47.9</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58.0</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47.9</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55.6</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45.7</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55.6</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45.7</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56.2</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46.7</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56.2</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46.7</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restart"/>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西厂区</w:t>
            </w: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厂界外1m处（▲1#）</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57.4</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47.3</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57.4</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47.3</w:t>
            </w:r>
          </w:p>
        </w:tc>
        <w:tc>
          <w:tcPr>
            <w:tcW w:w="1772"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 12348-2008</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昼间：</w:t>
            </w:r>
            <w:r>
              <w:rPr>
                <w:rFonts w:hint="default" w:ascii="Times New Roman" w:hAnsi="Times New Roman" w:eastAsia="宋体" w:cs="Times New Roman"/>
                <w:sz w:val="21"/>
                <w:szCs w:val="21"/>
                <w:lang w:val="en-US" w:eastAsia="zh-CN"/>
              </w:rPr>
              <w:t>60</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夜间：50</w:t>
            </w: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58.3</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48.2</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58.3</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48.2</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南</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45.5</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45.5</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 w:type="dxa"/>
            <w:vMerge w:val="continue"/>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p>
        </w:tc>
        <w:tc>
          <w:tcPr>
            <w:tcW w:w="2111" w:type="dxa"/>
            <w:tcBorders>
              <w:tl2br w:val="nil"/>
              <w:tr2bl w:val="nil"/>
            </w:tcBorders>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w:t>
            </w:r>
            <w:r>
              <w:rPr>
                <w:rFonts w:hint="default" w:ascii="Times New Roman" w:hAnsi="Times New Roman" w:eastAsia="宋体" w:cs="Times New Roman"/>
                <w:color w:val="auto"/>
                <w:sz w:val="21"/>
                <w:szCs w:val="21"/>
              </w:rPr>
              <w:t>厂界外1m处（▲</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56.5</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46.1</w:t>
            </w:r>
          </w:p>
        </w:tc>
        <w:tc>
          <w:tcPr>
            <w:tcW w:w="785"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56.5</w:t>
            </w:r>
          </w:p>
        </w:tc>
        <w:tc>
          <w:tcPr>
            <w:tcW w:w="788" w:type="dxa"/>
            <w:tcBorders>
              <w:tl2br w:val="nil"/>
              <w:tr2bl w:val="nil"/>
            </w:tcBorders>
            <w:vAlign w:val="center"/>
          </w:tcPr>
          <w:p>
            <w:pPr>
              <w:adjustRightInd w:val="0"/>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46.1</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bookmarkStart w:id="100" w:name="_Toc6604"/>
      <w:bookmarkStart w:id="101" w:name="_Toc6889"/>
      <w:bookmarkStart w:id="102" w:name="_Toc15284"/>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eastAsia="宋体" w:cs="Times New Roman"/>
          <w:color w:val="auto"/>
          <w:spacing w:val="-2"/>
          <w:sz w:val="24"/>
          <w:szCs w:val="24"/>
          <w:lang w:val="en-US" w:eastAsia="zh-CN"/>
        </w:rPr>
        <w:t>项目DA001混料入机挤出工序废气</w:t>
      </w:r>
      <w:r>
        <w:rPr>
          <w:rFonts w:hint="default" w:ascii="Times New Roman" w:hAnsi="Times New Roman" w:eastAsia="宋体" w:cs="Times New Roman"/>
          <w:color w:val="auto"/>
          <w:sz w:val="24"/>
          <w:szCs w:val="24"/>
          <w:lang w:eastAsia="zh-CN"/>
        </w:rPr>
        <w:t>经集气罩收集后由布袋除尘器+二级活性炭吸附装置处理后由1根1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3.51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pacing w:val="-2"/>
          <w:sz w:val="24"/>
          <w:szCs w:val="24"/>
          <w:lang w:eastAsia="zh-CN"/>
        </w:rPr>
        <w:t>最高排放浓度为</w:t>
      </w:r>
      <w:r>
        <w:rPr>
          <w:rFonts w:hint="default" w:ascii="Times New Roman" w:hAnsi="Times New Roman" w:eastAsia="宋体" w:cs="Times New Roman"/>
          <w:color w:val="auto"/>
          <w:spacing w:val="-2"/>
          <w:sz w:val="24"/>
          <w:szCs w:val="24"/>
          <w:lang w:val="en-US" w:eastAsia="zh-CN"/>
        </w:rPr>
        <w:t>5.9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31572-2015）表5大气污染物特别排放限值要求（非甲烷总烃：</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），氨最高排放浓度为</w:t>
      </w:r>
      <w:r>
        <w:rPr>
          <w:rFonts w:hint="default" w:ascii="Times New Roman" w:hAnsi="Times New Roman" w:eastAsia="宋体" w:cs="Times New Roman"/>
          <w:color w:val="auto"/>
          <w:spacing w:val="-2"/>
          <w:sz w:val="24"/>
          <w:szCs w:val="24"/>
          <w:lang w:val="en-US" w:eastAsia="zh-CN"/>
        </w:rPr>
        <w:t>2.4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氨最高排放速率为</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kg/h</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pacing w:val="-2"/>
          <w:sz w:val="24"/>
          <w:szCs w:val="24"/>
          <w:lang w:val="en-US" w:eastAsia="zh-CN"/>
        </w:rPr>
        <w:t>项目DA002混料入机挤出工序废气</w:t>
      </w:r>
      <w:r>
        <w:rPr>
          <w:rFonts w:hint="default" w:ascii="Times New Roman" w:hAnsi="Times New Roman" w:eastAsia="宋体" w:cs="Times New Roman"/>
          <w:color w:val="auto"/>
          <w:sz w:val="24"/>
          <w:szCs w:val="24"/>
          <w:lang w:eastAsia="zh-CN"/>
        </w:rPr>
        <w:t>经集气罩收集后由二级活性炭吸附装置处理后由1根1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31572-2015）表5大气污染物特别排放限值要求（非甲烷总烃：</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），氨最高排放浓度为</w:t>
      </w:r>
      <w:r>
        <w:rPr>
          <w:rFonts w:hint="default" w:ascii="Times New Roman" w:hAnsi="Times New Roman" w:eastAsia="宋体" w:cs="Times New Roman"/>
          <w:color w:val="auto"/>
          <w:spacing w:val="-2"/>
          <w:sz w:val="24"/>
          <w:szCs w:val="24"/>
          <w:lang w:val="en-US" w:eastAsia="zh-CN"/>
        </w:rPr>
        <w:t>3.8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氨最高排放速率为</w:t>
      </w:r>
      <w:r>
        <w:rPr>
          <w:rFonts w:hint="default" w:ascii="Times New Roman" w:hAnsi="Times New Roman" w:eastAsia="宋体" w:cs="Times New Roman"/>
          <w:color w:val="auto"/>
          <w:sz w:val="24"/>
          <w:szCs w:val="24"/>
          <w:lang w:val="en-US" w:eastAsia="zh-CN"/>
        </w:rPr>
        <w:t>1.93</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kg/h</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pacing w:val="-2"/>
          <w:sz w:val="24"/>
          <w:szCs w:val="24"/>
          <w:lang w:val="en-US" w:eastAsia="zh-CN"/>
        </w:rPr>
        <w:t>项目DA003入机、加热、挤出工序废气</w:t>
      </w:r>
      <w:r>
        <w:rPr>
          <w:rFonts w:hint="default" w:ascii="Times New Roman" w:hAnsi="Times New Roman" w:eastAsia="宋体" w:cs="Times New Roman"/>
          <w:color w:val="auto"/>
          <w:sz w:val="24"/>
          <w:szCs w:val="24"/>
          <w:lang w:eastAsia="zh-CN"/>
        </w:rPr>
        <w:t>经集气罩收集后由二级活性炭吸附装置处理后由1根1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要求（非甲烷总烃：</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），氨最高排放浓度为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氨最高排放速率为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1.62</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东厂区：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项目无组织非甲烷总烃最高排放浓度为1.01mg/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，满足《工业企业挥发性有机物排放控制标准》（DB13/2322-2016）表2企业边界大气污染物浓度限值（非甲烷总烃：2.0mg/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）；无组织总悬浮颗粒物最高排放监控浓度为538μg/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，满足合成树脂工业污染物排放标准》（GB 31572-2015）表9企业边界大气污染物浓度限值（颗粒物：1.0mg/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）；氨最高排放浓度为0.26mg/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厂区内南生产车间无组织非甲烷总烃最高排放浓度为1.83mg/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，厂区内北生产车间无组织非甲烷总烃最高排放浓度为1.96mg/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，均满足《挥发性有机物无组织排放控制标准》（GB 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无组织特别排放限值（非甲烷总烃：6mg/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西厂区：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项目无组织非甲烷总烃最高排放浓度为1.04mg/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，满足《工业企业挥发性有机物排放控制标准》（DB13/2322-2016）表2企业边界大气污染物浓度限值（非甲烷总烃：2.0mg/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）；氨最高排放浓度为0.34mg/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厂区内无组织非甲烷总烃最高排放浓度为1.96mg/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，满足《挥发性有机物无组织排放控制标准》（GB 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无组织特别排放限值（非甲烷总烃：6mg/</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东厂区：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西厂区：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，夜间：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rPr>
          <w:rFonts w:hint="default" w:ascii="Times New Roman" w:hAnsi="Times New Roman" w:eastAsia="宋体" w:cs="Times New Roman"/>
        </w:rPr>
      </w:pPr>
      <w:bookmarkStart w:id="107" w:name="_Toc504325378"/>
      <w:r>
        <w:rPr>
          <w:rFonts w:hint="default" w:ascii="Times New Roman" w:hAnsi="Times New Roman" w:eastAsia="宋体" w:cs="Times New Roman"/>
        </w:rPr>
        <w:br w:type="page"/>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扩建项目污染物</w:t>
      </w:r>
      <w:r>
        <w:rPr>
          <w:rFonts w:hint="default" w:ascii="Times New Roman" w:hAnsi="Times New Roman" w:eastAsia="宋体" w:cs="Times New Roman"/>
          <w:sz w:val="24"/>
          <w:szCs w:val="24"/>
          <w:lang w:eastAsia="zh-CN"/>
        </w:rPr>
        <w:t>总量控制指标建议为：</w:t>
      </w:r>
      <w:r>
        <w:rPr>
          <w:rFonts w:hint="default" w:ascii="Times New Roman" w:hAnsi="Times New Roman" w:eastAsia="宋体" w:cs="Times New Roman"/>
          <w:color w:val="auto"/>
          <w:sz w:val="24"/>
          <w:szCs w:val="24"/>
          <w:lang w:val="en-US" w:eastAsia="zh-CN"/>
        </w:rPr>
        <w:t>化学需氧量：0t/a、氨氮：0t/a、氮氧化物：0t/a、非甲烷总烃：1.152t/a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全厂污染物</w:t>
      </w:r>
      <w:r>
        <w:rPr>
          <w:rFonts w:hint="default" w:ascii="Times New Roman" w:hAnsi="Times New Roman" w:eastAsia="宋体" w:cs="Times New Roman"/>
          <w:sz w:val="24"/>
          <w:szCs w:val="24"/>
          <w:lang w:eastAsia="zh-CN"/>
        </w:rPr>
        <w:t>总量控制指标为：</w:t>
      </w:r>
      <w:r>
        <w:rPr>
          <w:rFonts w:hint="default" w:ascii="Times New Roman" w:hAnsi="Times New Roman" w:eastAsia="宋体" w:cs="Times New Roman"/>
          <w:color w:val="auto"/>
          <w:sz w:val="24"/>
          <w:szCs w:val="24"/>
          <w:lang w:val="en-US" w:eastAsia="zh-CN"/>
        </w:rPr>
        <w:t>颗粒物：0.24t/a、非甲烷总烃：2.592t/a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项目全厂实际排放污染物总量为：化学需氧量：0t/a、氨氮：0t/a、二氧化硫：0t/a、氮氧化物：0t/a、颗粒物：0.057t/a、非甲烷总烃：0.116t/a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河间市沃森铝塑门窗配件厂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294178076"/>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294178077"/>
      <w:bookmarkStart w:id="115" w:name="_Toc504325382"/>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河间市沃森铝塑门窗配件厂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4220604"/>
      <w:bookmarkStart w:id="118" w:name="_Toc41270519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4220602"/>
      <w:bookmarkStart w:id="120" w:name="_Toc412705196"/>
      <w:bookmarkStart w:id="121" w:name="_Toc504325383"/>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目DA001混料入机挤出工序废气</w:t>
      </w:r>
      <w:r>
        <w:rPr>
          <w:rFonts w:hint="default" w:ascii="Times New Roman" w:hAnsi="Times New Roman" w:eastAsia="宋体" w:cs="Times New Roman"/>
          <w:color w:val="auto"/>
          <w:sz w:val="24"/>
          <w:szCs w:val="24"/>
          <w:lang w:eastAsia="zh-CN"/>
        </w:rPr>
        <w:t>经集气罩收集后由布袋除尘器+二级活性炭吸附装置处理后由1根1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3.51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pacing w:val="-2"/>
          <w:sz w:val="24"/>
          <w:szCs w:val="24"/>
          <w:lang w:eastAsia="zh-CN"/>
        </w:rPr>
        <w:t>最高排放浓度为</w:t>
      </w:r>
      <w:r>
        <w:rPr>
          <w:rFonts w:hint="default" w:ascii="Times New Roman" w:hAnsi="Times New Roman" w:eastAsia="宋体" w:cs="Times New Roman"/>
          <w:color w:val="auto"/>
          <w:spacing w:val="-2"/>
          <w:sz w:val="24"/>
          <w:szCs w:val="24"/>
          <w:lang w:val="en-US" w:eastAsia="zh-CN"/>
        </w:rPr>
        <w:t>5.9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31572-2015）表5大气污染物特别排放限值要求（非甲烷总烃：</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），氨最高排放浓度为</w:t>
      </w:r>
      <w:r>
        <w:rPr>
          <w:rFonts w:hint="default" w:ascii="Times New Roman" w:hAnsi="Times New Roman" w:eastAsia="宋体" w:cs="Times New Roman"/>
          <w:color w:val="auto"/>
          <w:spacing w:val="-2"/>
          <w:sz w:val="24"/>
          <w:szCs w:val="24"/>
          <w:lang w:val="en-US" w:eastAsia="zh-CN"/>
        </w:rPr>
        <w:t>2.4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氨最高排放速率为</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kg/h</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pacing w:val="-2"/>
          <w:sz w:val="24"/>
          <w:szCs w:val="24"/>
          <w:lang w:val="en-US" w:eastAsia="zh-CN"/>
        </w:rPr>
        <w:t>项目DA002混料入机挤出工序废气</w:t>
      </w:r>
      <w:r>
        <w:rPr>
          <w:rFonts w:hint="default" w:ascii="Times New Roman" w:hAnsi="Times New Roman" w:eastAsia="宋体" w:cs="Times New Roman"/>
          <w:color w:val="auto"/>
          <w:sz w:val="24"/>
          <w:szCs w:val="24"/>
          <w:lang w:eastAsia="zh-CN"/>
        </w:rPr>
        <w:t>经集气罩收集后由二级活性炭吸附装置处理后由1根1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31572-2015）表5大气污染物特别排放限值要求（非甲烷总烃：</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），氨最高排放浓度为</w:t>
      </w:r>
      <w:r>
        <w:rPr>
          <w:rFonts w:hint="default" w:ascii="Times New Roman" w:hAnsi="Times New Roman" w:eastAsia="宋体" w:cs="Times New Roman"/>
          <w:color w:val="auto"/>
          <w:spacing w:val="-2"/>
          <w:sz w:val="24"/>
          <w:szCs w:val="24"/>
          <w:lang w:val="en-US" w:eastAsia="zh-CN"/>
        </w:rPr>
        <w:t>3.8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氨最高排放速率为</w:t>
      </w:r>
      <w:r>
        <w:rPr>
          <w:rFonts w:hint="default" w:ascii="Times New Roman" w:hAnsi="Times New Roman" w:eastAsia="宋体" w:cs="Times New Roman"/>
          <w:color w:val="auto"/>
          <w:sz w:val="24"/>
          <w:szCs w:val="24"/>
          <w:lang w:val="en-US" w:eastAsia="zh-CN"/>
        </w:rPr>
        <w:t>1.93</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kg/h</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pacing w:val="-2"/>
          <w:sz w:val="24"/>
          <w:szCs w:val="24"/>
          <w:lang w:val="en-US" w:eastAsia="zh-CN"/>
        </w:rPr>
        <w:t>项目DA003入机、加热、挤出工序废气</w:t>
      </w:r>
      <w:r>
        <w:rPr>
          <w:rFonts w:hint="default" w:ascii="Times New Roman" w:hAnsi="Times New Roman" w:eastAsia="宋体" w:cs="Times New Roman"/>
          <w:color w:val="auto"/>
          <w:sz w:val="24"/>
          <w:szCs w:val="24"/>
          <w:lang w:eastAsia="zh-CN"/>
        </w:rPr>
        <w:t>经集气罩收集后由二级活性炭吸附装置处理后由1根1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3.61</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满足《合成树脂工业污染物排放标准》（GB 31572-2015）表5大气污染物特别排放限值</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要求（非甲烷总烃：</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），氨最高排放浓度为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氨最高排放速率为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1.62</w:t>
      </w:r>
      <w:r>
        <w:rPr>
          <w:rFonts w:hint="default" w:ascii="Times New Roman" w:hAnsi="Times New Roman" w:eastAsia="宋体" w:cs="Times New Roman"/>
          <w:color w:val="000000" w:themeColor="text1"/>
          <w:sz w:val="24"/>
          <w:szCs w:val="24"/>
          <w14:textFill>
            <w14:solidFill>
              <w14:schemeClr w14:val="tx1"/>
            </w14:solidFill>
          </w14:textFill>
        </w:rPr>
        <w:t>×10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东厂区：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w:t>
      </w:r>
      <w:r>
        <w:rPr>
          <w:rFonts w:hint="default" w:ascii="Times New Roman" w:hAnsi="Times New Roman" w:eastAsia="宋体" w:cs="Times New Roman"/>
          <w:spacing w:val="0"/>
          <w:sz w:val="24"/>
          <w:szCs w:val="24"/>
          <w:lang w:val="en-US" w:eastAsia="zh-CN"/>
        </w:rPr>
        <w:t>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1.01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default"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总悬浮颗粒物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538</w:t>
      </w:r>
      <w:r>
        <w:rPr>
          <w:rFonts w:hint="default" w:ascii="Times New Roman" w:hAnsi="Times New Roman" w:eastAsia="宋体" w:cs="Times New Roman"/>
          <w:sz w:val="24"/>
          <w:szCs w:val="24"/>
          <w:lang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合成树脂工业污染物排放标准》（GB 31572-2015）表</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9</w:t>
      </w:r>
      <w:r>
        <w:rPr>
          <w:rFonts w:hint="default" w:ascii="Times New Roman" w:hAnsi="Times New Roman" w:eastAsia="宋体" w:cs="Times New Roman"/>
          <w:color w:val="auto"/>
          <w:spacing w:val="0"/>
          <w:w w:val="100"/>
          <w:kern w:val="2"/>
          <w:sz w:val="24"/>
          <w:szCs w:val="24"/>
          <w:highlight w:val="none"/>
          <w:lang w:val="en-US" w:eastAsia="zh-CN" w:bidi="ar-SA"/>
        </w:rPr>
        <w:t>企业边界大气污染物浓度限值（颗粒物</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lang w:val="en-US" w:eastAsia="zh-CN"/>
        </w:rPr>
        <w:t>1.0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0"/>
          <w:w w:val="100"/>
          <w:kern w:val="2"/>
          <w:sz w:val="24"/>
          <w:szCs w:val="24"/>
          <w:highlight w:val="none"/>
          <w:lang w:val="en-US" w:eastAsia="zh-CN" w:bidi="ar-SA"/>
        </w:rPr>
        <w:t>）；氨</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0.26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厂区内南生产车间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1.83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厂区内北生产车间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1.96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均</w:t>
      </w:r>
      <w:r>
        <w:rPr>
          <w:rFonts w:hint="default" w:ascii="Times New Roman" w:hAnsi="Times New Roman" w:eastAsia="宋体" w:cs="Times New Roman"/>
          <w:sz w:val="24"/>
          <w:szCs w:val="24"/>
          <w:lang w:val="en-US" w:eastAsia="zh-CN"/>
        </w:rPr>
        <w:t>满足《挥发性有机物无组织排放控制标准》（GB 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西厂区：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w:t>
      </w:r>
      <w:r>
        <w:rPr>
          <w:rFonts w:hint="default" w:ascii="Times New Roman" w:hAnsi="Times New Roman" w:eastAsia="宋体" w:cs="Times New Roman"/>
          <w:spacing w:val="0"/>
          <w:sz w:val="24"/>
          <w:szCs w:val="24"/>
          <w:lang w:val="en-US" w:eastAsia="zh-CN"/>
        </w:rPr>
        <w:t>检测</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1.04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default"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pacing w:val="0"/>
          <w:w w:val="100"/>
          <w:kern w:val="2"/>
          <w:sz w:val="24"/>
          <w:szCs w:val="24"/>
          <w:highlight w:val="none"/>
          <w:lang w:val="en-US" w:eastAsia="zh-CN" w:bidi="ar-SA"/>
        </w:rPr>
        <w:t>氨</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0.34</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1.96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满足《挥发性有机物无组织排放控制标准》（GB 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东厂区：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w:t>
      </w:r>
      <w:r>
        <w:rPr>
          <w:rFonts w:hint="eastAsia" w:ascii="Times New Roman" w:hAnsi="Times New Roman" w:eastAsia="宋体" w:cs="Times New Roman"/>
          <w:kern w:val="0"/>
          <w:sz w:val="24"/>
          <w:szCs w:val="24"/>
          <w:lang w:val="en-US" w:eastAsia="zh-CN"/>
        </w:rPr>
        <w:t>检</w:t>
      </w:r>
      <w:r>
        <w:rPr>
          <w:rFonts w:hint="default" w:ascii="Times New Roman" w:hAnsi="Times New Roman" w:eastAsia="宋体" w:cs="Times New Roman"/>
          <w:kern w:val="0"/>
          <w:sz w:val="24"/>
          <w:szCs w:val="24"/>
        </w:rPr>
        <w:t>测，该项目厂界东、南、西、北方向各设1个监测点位，各点位昼间、夜间噪声值均满足《工业企业厂界环境噪声排放标准》（GB 12348-2008）表1中2类标准限值（昼间：60dB（A），夜间：50dB（A））。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西厂区：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w:t>
      </w:r>
      <w:r>
        <w:rPr>
          <w:rFonts w:hint="eastAsia" w:ascii="Times New Roman" w:hAnsi="Times New Roman" w:eastAsia="宋体" w:cs="Times New Roman"/>
          <w:kern w:val="0"/>
          <w:sz w:val="24"/>
          <w:szCs w:val="24"/>
          <w:lang w:val="en-US" w:eastAsia="zh-CN"/>
        </w:rPr>
        <w:t>检</w:t>
      </w:r>
      <w:r>
        <w:rPr>
          <w:rFonts w:hint="default" w:ascii="Times New Roman" w:hAnsi="Times New Roman" w:eastAsia="宋体" w:cs="Times New Roman"/>
          <w:kern w:val="0"/>
          <w:sz w:val="24"/>
          <w:szCs w:val="24"/>
        </w:rPr>
        <w:t>测，该项目厂界东、南、西、北方向各设1个监测点位，各点位昼间、夜间噪声值均满足《工业企业厂界环境噪声排放标准》（GB 12348-2008）表1中2类标准限值（昼间：60dB（A），夜间：50dB（A））。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扩建项目冷却水循环使用，定期补充，不外排；厂内设防渗旱厕，产生的生活污水排入旱厕，定期清掏，不外排</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扩建项目运营期间产生废固体废物主要包括不合格品、原料废包装袋、废包装桶、废活性炭以及职工生活垃圾。</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生活垃圾由环卫部门清运处理；</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一般固废：生产过程产生的不合格品收集后外售；原料废包装袋收集后外售；</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危险废物：废包装桶和废活性炭存于危废暂存间，定期委托有资质的单位处理。</w:t>
      </w:r>
    </w:p>
    <w:p>
      <w:pPr>
        <w:rPr>
          <w:rFonts w:hint="eastAsia" w:cs="Times New Roman"/>
          <w:szCs w:val="24"/>
          <w:lang w:eastAsia="zh-CN"/>
        </w:rPr>
      </w:pPr>
      <w:r>
        <w:rPr>
          <w:rFonts w:hint="eastAsia" w:cs="Times New Roman"/>
          <w:szCs w:val="24"/>
          <w:lang w:eastAsia="zh-CN"/>
        </w:rPr>
        <w:br w:type="page"/>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扩建项目污染物总量控制指标建议为：化学需氧量：0t/a、氨氮：0t/a、氮氧化物：0t/a、非甲烷总烃：1.152t/a；全厂污染物总量控制指标为：颗粒物：0.24t/a、非甲烷总烃：2.592t/a。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项目全厂实际排放污染物总量为：化学需氧量：0t/a、氨氮：0t/a、二氧化硫：0t/a、氮氧化物：0t/a、颗粒物：0.057t/a、非甲烷总烃：0.116t/a。满足环评中总量控制要求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2336" behindDoc="0" locked="0" layoutInCell="1" allowOverlap="1">
            <wp:simplePos x="0" y="0"/>
            <wp:positionH relativeFrom="column">
              <wp:posOffset>842010</wp:posOffset>
            </wp:positionH>
            <wp:positionV relativeFrom="paragraph">
              <wp:posOffset>225425</wp:posOffset>
            </wp:positionV>
            <wp:extent cx="4152900" cy="6962775"/>
            <wp:effectExtent l="0" t="0" r="0" b="952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4152900" cy="696277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3360" behindDoc="0" locked="0" layoutInCell="1" allowOverlap="1">
            <wp:simplePos x="0" y="0"/>
            <wp:positionH relativeFrom="column">
              <wp:posOffset>857885</wp:posOffset>
            </wp:positionH>
            <wp:positionV relativeFrom="paragraph">
              <wp:posOffset>266065</wp:posOffset>
            </wp:positionV>
            <wp:extent cx="4181475" cy="7019925"/>
            <wp:effectExtent l="0" t="0" r="9525" b="952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9"/>
                    <a:stretch>
                      <a:fillRect/>
                    </a:stretch>
                  </pic:blipFill>
                  <pic:spPr>
                    <a:xfrm>
                      <a:off x="0" y="0"/>
                      <a:ext cx="4181475" cy="701992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4384" behindDoc="0" locked="0" layoutInCell="1" allowOverlap="1">
            <wp:simplePos x="0" y="0"/>
            <wp:positionH relativeFrom="column">
              <wp:posOffset>908050</wp:posOffset>
            </wp:positionH>
            <wp:positionV relativeFrom="paragraph">
              <wp:posOffset>234950</wp:posOffset>
            </wp:positionV>
            <wp:extent cx="4276725" cy="7124700"/>
            <wp:effectExtent l="0" t="0" r="9525" b="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4276725" cy="71247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eastAsia" w:ascii="黑体" w:eastAsia="黑体"/>
          <w:b w:val="0"/>
          <w:bCs/>
          <w:sz w:val="32"/>
          <w:szCs w:val="32"/>
          <w:lang w:eastAsia="zh-CN"/>
        </w:rPr>
        <w:drawing>
          <wp:anchor distT="0" distB="0" distL="114300" distR="114300" simplePos="0" relativeHeight="251665408" behindDoc="0" locked="0" layoutInCell="1" allowOverlap="1">
            <wp:simplePos x="0" y="0"/>
            <wp:positionH relativeFrom="column">
              <wp:posOffset>200025</wp:posOffset>
            </wp:positionH>
            <wp:positionV relativeFrom="paragraph">
              <wp:posOffset>361315</wp:posOffset>
            </wp:positionV>
            <wp:extent cx="5926455" cy="8285480"/>
            <wp:effectExtent l="0" t="0" r="17145" b="1270"/>
            <wp:wrapNone/>
            <wp:docPr id="2" name="图片 2" descr="批复 沃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批复 沃森"/>
                    <pic:cNvPicPr>
                      <a:picLocks noChangeAspect="1"/>
                    </pic:cNvPicPr>
                  </pic:nvPicPr>
                  <pic:blipFill>
                    <a:blip r:embed="rId21"/>
                    <a:stretch>
                      <a:fillRect/>
                    </a:stretch>
                  </pic:blipFill>
                  <pic:spPr>
                    <a:xfrm>
                      <a:off x="0" y="0"/>
                      <a:ext cx="5926455" cy="828548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6432" behindDoc="0" locked="0" layoutInCell="1" allowOverlap="1">
            <wp:simplePos x="0" y="0"/>
            <wp:positionH relativeFrom="column">
              <wp:posOffset>147955</wp:posOffset>
            </wp:positionH>
            <wp:positionV relativeFrom="paragraph">
              <wp:posOffset>10160</wp:posOffset>
            </wp:positionV>
            <wp:extent cx="5645785" cy="7987030"/>
            <wp:effectExtent l="0" t="0" r="12065" b="13970"/>
            <wp:wrapNone/>
            <wp:docPr id="13" name="图片 13" descr="附件4  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4  营业执照"/>
                    <pic:cNvPicPr>
                      <a:picLocks noChangeAspect="1"/>
                    </pic:cNvPicPr>
                  </pic:nvPicPr>
                  <pic:blipFill>
                    <a:blip r:embed="rId22"/>
                    <a:stretch>
                      <a:fillRect/>
                    </a:stretch>
                  </pic:blipFill>
                  <pic:spPr>
                    <a:xfrm>
                      <a:off x="0" y="0"/>
                      <a:ext cx="5645785" cy="7987030"/>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河间市沃森铝塑门窗配件厂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门窗专用隔热条扩建项目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河间市卧佛堂镇北小店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C2929塑料零件及其他塑料制品制造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1908810</wp:posOffset>
                      </wp:positionH>
                      <wp:positionV relativeFrom="paragraph">
                        <wp:posOffset>64770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50.3pt;margin-top:5.1pt;height:5.6pt;width:5.25pt;z-index:251661312;v-text-anchor:middle;mso-width-relative:page;mso-height-relative:page;" fillcolor="#000000 [3213]" filled="t" stroked="t" coordsize="21600,21600" o:gfxdata="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6MX2AAAAAkBAAAPAAAAAAAAAAEAIAAAACIAAABkcnMv&#10;ZG93bnJldi54bWxQSwECFAAUAAAACACHTuJAoftk8AMCAAA2BAAADgAAAAAAAAABACAAAAAnAQAA&#10;ZHJzL2Uyb0RvYy54bWxQSwUGAAAAAAYABgBZAQAAnA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1510030</wp:posOffset>
                      </wp:positionH>
                      <wp:positionV relativeFrom="paragraph">
                        <wp:posOffset>71120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18.9pt;margin-top:5.6pt;height:5.6pt;width:5.25pt;z-index:251659264;v-text-anchor:middle;mso-width-relative:page;mso-height-relative:page;" fillcolor="#FFFFFF [3212]" filled="t" stroked="t" coordsize="21600,21600" o:gfxdata="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37pS/WAAAACQEAAA8AAAAAAAAAAQAgAAAAIgAA&#10;AGRycy9kb3ducmV2LnhtbFBLAQIUABQAAAAIAIdO4kBPUVJ4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2265045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35pt;margin-top:5.2pt;height:5.6pt;width:5.25pt;z-index:251660288;v-text-anchor:middle;mso-width-relative:page;mso-height-relative:page;" fillcolor="#FFFFFF [3212]" filled="t" stroked="t" coordsize="21600,21600" o:gfxdata="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RDm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年增产门窗专用隔热条500吨</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年增产门窗专用隔热条500吨</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河环表[2021]（12-12）号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3.6</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河间市沃森铝塑门窗配件厂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92130984MA0EXT1F89</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3495</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3495</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5.9</w:t>
            </w: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0.057</w:t>
            </w: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0.057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3.61</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0.116</w:t>
            </w: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0.116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河间市沃森铝塑门窗配件厂门窗专用隔热条扩建项目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0ODhjMjYwZTg5NmVhMzZjMGY1OTNkZjRiNTk3M2EifQ=="/>
  </w:docVars>
  <w:rsids>
    <w:rsidRoot w:val="00172A27"/>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4DDF"/>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C12428"/>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5E32F7"/>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850B2"/>
    <w:rsid w:val="067E40C3"/>
    <w:rsid w:val="068047BF"/>
    <w:rsid w:val="068835A7"/>
    <w:rsid w:val="06897DEA"/>
    <w:rsid w:val="068E61E3"/>
    <w:rsid w:val="069D7E7F"/>
    <w:rsid w:val="06A10933"/>
    <w:rsid w:val="06B06A51"/>
    <w:rsid w:val="06B859FF"/>
    <w:rsid w:val="06BA7BA3"/>
    <w:rsid w:val="06C360CA"/>
    <w:rsid w:val="06DE54C3"/>
    <w:rsid w:val="06ED1005"/>
    <w:rsid w:val="06F04E23"/>
    <w:rsid w:val="06F1352C"/>
    <w:rsid w:val="06F8156A"/>
    <w:rsid w:val="06FA0A90"/>
    <w:rsid w:val="06FC0B78"/>
    <w:rsid w:val="07072D42"/>
    <w:rsid w:val="07134C52"/>
    <w:rsid w:val="071A198F"/>
    <w:rsid w:val="072E0A4F"/>
    <w:rsid w:val="0731355F"/>
    <w:rsid w:val="07324B51"/>
    <w:rsid w:val="07336CD4"/>
    <w:rsid w:val="073A1EC1"/>
    <w:rsid w:val="073B3EC5"/>
    <w:rsid w:val="07416A9F"/>
    <w:rsid w:val="07433586"/>
    <w:rsid w:val="07443518"/>
    <w:rsid w:val="0751333B"/>
    <w:rsid w:val="076E3C64"/>
    <w:rsid w:val="076F525B"/>
    <w:rsid w:val="07702FE3"/>
    <w:rsid w:val="07791296"/>
    <w:rsid w:val="079646FD"/>
    <w:rsid w:val="07B14745"/>
    <w:rsid w:val="07BF60E4"/>
    <w:rsid w:val="07C14AB3"/>
    <w:rsid w:val="07CF4FAD"/>
    <w:rsid w:val="07D160AD"/>
    <w:rsid w:val="07D252A5"/>
    <w:rsid w:val="07D258D6"/>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3A7"/>
    <w:rsid w:val="08773FBC"/>
    <w:rsid w:val="087B2571"/>
    <w:rsid w:val="08980B3C"/>
    <w:rsid w:val="089D027B"/>
    <w:rsid w:val="08A14073"/>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743052"/>
    <w:rsid w:val="098039B6"/>
    <w:rsid w:val="09867AAE"/>
    <w:rsid w:val="098C57B3"/>
    <w:rsid w:val="099755D7"/>
    <w:rsid w:val="09A77D65"/>
    <w:rsid w:val="09AB63DF"/>
    <w:rsid w:val="09B53B18"/>
    <w:rsid w:val="09C247A3"/>
    <w:rsid w:val="09C74361"/>
    <w:rsid w:val="09CE35CA"/>
    <w:rsid w:val="09D66572"/>
    <w:rsid w:val="09DF0D92"/>
    <w:rsid w:val="0A0119DF"/>
    <w:rsid w:val="0A057EED"/>
    <w:rsid w:val="0A097800"/>
    <w:rsid w:val="0A16100F"/>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E91758"/>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4D4E25"/>
    <w:rsid w:val="0E5B0CC5"/>
    <w:rsid w:val="0E650064"/>
    <w:rsid w:val="0E7405B8"/>
    <w:rsid w:val="0E9D742B"/>
    <w:rsid w:val="0EB24ABA"/>
    <w:rsid w:val="0EB66F04"/>
    <w:rsid w:val="0EC33D86"/>
    <w:rsid w:val="0EC84D41"/>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B3C0F"/>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96EDE"/>
    <w:rsid w:val="14AD040F"/>
    <w:rsid w:val="14B317B9"/>
    <w:rsid w:val="14B90A62"/>
    <w:rsid w:val="14D2389F"/>
    <w:rsid w:val="14E27BDE"/>
    <w:rsid w:val="14E53E24"/>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758B0"/>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1E097B"/>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8163C"/>
    <w:rsid w:val="19CC313D"/>
    <w:rsid w:val="19D325EA"/>
    <w:rsid w:val="19D8103D"/>
    <w:rsid w:val="19F35D66"/>
    <w:rsid w:val="1A055686"/>
    <w:rsid w:val="1A103EEA"/>
    <w:rsid w:val="1A1A2F1E"/>
    <w:rsid w:val="1A246FC3"/>
    <w:rsid w:val="1A2B4C8A"/>
    <w:rsid w:val="1A3E1491"/>
    <w:rsid w:val="1A3F3726"/>
    <w:rsid w:val="1A4C1BAF"/>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6E46D4"/>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412B69"/>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20FDC"/>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B97509"/>
    <w:rsid w:val="23C23149"/>
    <w:rsid w:val="23F560DC"/>
    <w:rsid w:val="23FB048B"/>
    <w:rsid w:val="243520AC"/>
    <w:rsid w:val="244E2E08"/>
    <w:rsid w:val="244E566C"/>
    <w:rsid w:val="244F6681"/>
    <w:rsid w:val="24627BCF"/>
    <w:rsid w:val="2464789E"/>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066D31"/>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5183D"/>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276E1D"/>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9FB55D9"/>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BB14A2"/>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4B6"/>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EC7121"/>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82B99"/>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2595F"/>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07648"/>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BE65EF"/>
    <w:rsid w:val="37E2326F"/>
    <w:rsid w:val="37EF18DE"/>
    <w:rsid w:val="37EF79C3"/>
    <w:rsid w:val="37F670C3"/>
    <w:rsid w:val="37FC009C"/>
    <w:rsid w:val="37FE72E8"/>
    <w:rsid w:val="38266097"/>
    <w:rsid w:val="382B05E8"/>
    <w:rsid w:val="38341B11"/>
    <w:rsid w:val="383D11AC"/>
    <w:rsid w:val="38433B7B"/>
    <w:rsid w:val="38470E28"/>
    <w:rsid w:val="386466C5"/>
    <w:rsid w:val="386822BE"/>
    <w:rsid w:val="38706B70"/>
    <w:rsid w:val="3873396F"/>
    <w:rsid w:val="388C36FB"/>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4169D"/>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A2845"/>
    <w:rsid w:val="3CFE1DDC"/>
    <w:rsid w:val="3CFE53D2"/>
    <w:rsid w:val="3D052467"/>
    <w:rsid w:val="3D1A107E"/>
    <w:rsid w:val="3D1D4DF6"/>
    <w:rsid w:val="3D2D4A70"/>
    <w:rsid w:val="3D2D4D53"/>
    <w:rsid w:val="3D3C5700"/>
    <w:rsid w:val="3D430771"/>
    <w:rsid w:val="3D457DA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63137"/>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1479E"/>
    <w:rsid w:val="40AC5A0E"/>
    <w:rsid w:val="40B8094D"/>
    <w:rsid w:val="40BA342D"/>
    <w:rsid w:val="40BF2FB2"/>
    <w:rsid w:val="40BF56B4"/>
    <w:rsid w:val="40C93FF4"/>
    <w:rsid w:val="40CD2EC8"/>
    <w:rsid w:val="40CF6C51"/>
    <w:rsid w:val="40EC10C3"/>
    <w:rsid w:val="40F82324"/>
    <w:rsid w:val="40FD2C9F"/>
    <w:rsid w:val="40FD421D"/>
    <w:rsid w:val="41076CD8"/>
    <w:rsid w:val="411938A3"/>
    <w:rsid w:val="41196265"/>
    <w:rsid w:val="41207B76"/>
    <w:rsid w:val="41220192"/>
    <w:rsid w:val="41295F86"/>
    <w:rsid w:val="412A1DAC"/>
    <w:rsid w:val="413C20B9"/>
    <w:rsid w:val="414E282B"/>
    <w:rsid w:val="41594D80"/>
    <w:rsid w:val="416532E6"/>
    <w:rsid w:val="416D45B6"/>
    <w:rsid w:val="417803D7"/>
    <w:rsid w:val="417C6281"/>
    <w:rsid w:val="417F709C"/>
    <w:rsid w:val="41833A5A"/>
    <w:rsid w:val="41850103"/>
    <w:rsid w:val="418523ED"/>
    <w:rsid w:val="41926AF4"/>
    <w:rsid w:val="419A53F7"/>
    <w:rsid w:val="419D6C46"/>
    <w:rsid w:val="419F4F1F"/>
    <w:rsid w:val="41A366E6"/>
    <w:rsid w:val="41A422DF"/>
    <w:rsid w:val="41AA40E2"/>
    <w:rsid w:val="41AC1B64"/>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D82A69"/>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7C4D0A"/>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D30F6B"/>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317F76"/>
    <w:rsid w:val="4D4A10AE"/>
    <w:rsid w:val="4D614180"/>
    <w:rsid w:val="4D636D2B"/>
    <w:rsid w:val="4D694FB8"/>
    <w:rsid w:val="4D6A3847"/>
    <w:rsid w:val="4D7D1374"/>
    <w:rsid w:val="4D810EFD"/>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16531"/>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A063C"/>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86F84"/>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06426"/>
    <w:rsid w:val="5353489E"/>
    <w:rsid w:val="536A5A61"/>
    <w:rsid w:val="537307EF"/>
    <w:rsid w:val="53815422"/>
    <w:rsid w:val="53AB7385"/>
    <w:rsid w:val="53CD588A"/>
    <w:rsid w:val="53D5768D"/>
    <w:rsid w:val="53DC7820"/>
    <w:rsid w:val="54004901"/>
    <w:rsid w:val="5402155B"/>
    <w:rsid w:val="540A5CD5"/>
    <w:rsid w:val="5418592F"/>
    <w:rsid w:val="541A79B6"/>
    <w:rsid w:val="541D0734"/>
    <w:rsid w:val="54302171"/>
    <w:rsid w:val="54334036"/>
    <w:rsid w:val="543F603D"/>
    <w:rsid w:val="54406550"/>
    <w:rsid w:val="544B0D74"/>
    <w:rsid w:val="545F3EC3"/>
    <w:rsid w:val="54645543"/>
    <w:rsid w:val="547F50D8"/>
    <w:rsid w:val="548A0B21"/>
    <w:rsid w:val="548D46A4"/>
    <w:rsid w:val="549027F2"/>
    <w:rsid w:val="54A439AE"/>
    <w:rsid w:val="54AB3E37"/>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1377D"/>
    <w:rsid w:val="576F6390"/>
    <w:rsid w:val="578825D2"/>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47220C"/>
    <w:rsid w:val="58477420"/>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D210F0"/>
    <w:rsid w:val="59E54352"/>
    <w:rsid w:val="59F226B7"/>
    <w:rsid w:val="59F34CE6"/>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373BF"/>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B24B1"/>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C3549"/>
    <w:rsid w:val="61AE23F8"/>
    <w:rsid w:val="61B57FD3"/>
    <w:rsid w:val="61C15B92"/>
    <w:rsid w:val="61C53DC2"/>
    <w:rsid w:val="61C9364E"/>
    <w:rsid w:val="61E624CA"/>
    <w:rsid w:val="61E63CA9"/>
    <w:rsid w:val="61E73B74"/>
    <w:rsid w:val="61FE3DB5"/>
    <w:rsid w:val="620252F5"/>
    <w:rsid w:val="620370B9"/>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83EEF"/>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B211AB"/>
    <w:rsid w:val="67D22629"/>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2A40"/>
    <w:rsid w:val="6B455344"/>
    <w:rsid w:val="6B467A08"/>
    <w:rsid w:val="6B7641DD"/>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914B7"/>
    <w:rsid w:val="6CAE091F"/>
    <w:rsid w:val="6CB50197"/>
    <w:rsid w:val="6CC251F9"/>
    <w:rsid w:val="6CC87309"/>
    <w:rsid w:val="6CD41DC7"/>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46A95"/>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0446E9"/>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073C31"/>
    <w:rsid w:val="77143EE3"/>
    <w:rsid w:val="771B39AA"/>
    <w:rsid w:val="7723230F"/>
    <w:rsid w:val="77452C20"/>
    <w:rsid w:val="77495AA5"/>
    <w:rsid w:val="774F4766"/>
    <w:rsid w:val="77555644"/>
    <w:rsid w:val="77686D29"/>
    <w:rsid w:val="77693BAF"/>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51901"/>
    <w:rsid w:val="7CAA5048"/>
    <w:rsid w:val="7CB305A5"/>
    <w:rsid w:val="7CCD4836"/>
    <w:rsid w:val="7CD65610"/>
    <w:rsid w:val="7CDE73E1"/>
    <w:rsid w:val="7CED1392"/>
    <w:rsid w:val="7CF74207"/>
    <w:rsid w:val="7CFB7376"/>
    <w:rsid w:val="7D13002B"/>
    <w:rsid w:val="7D2D13A8"/>
    <w:rsid w:val="7D2D6F2A"/>
    <w:rsid w:val="7D3126F3"/>
    <w:rsid w:val="7D35110B"/>
    <w:rsid w:val="7D385AC2"/>
    <w:rsid w:val="7D3D2A50"/>
    <w:rsid w:val="7D3E7BDD"/>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1"/>
    <w:qFormat/>
    <w:uiPriority w:val="0"/>
    <w:pPr>
      <w:spacing w:line="480" w:lineRule="atLeast"/>
      <w:outlineLvl w:val="0"/>
    </w:pPr>
    <w:rPr>
      <w:rFonts w:ascii="宋体" w:hAnsi="宋体" w:eastAsia="宋体"/>
      <w:b/>
      <w:sz w:val="30"/>
      <w:szCs w:val="30"/>
    </w:rPr>
  </w:style>
  <w:style w:type="paragraph" w:styleId="5">
    <w:name w:val="heading 2"/>
    <w:basedOn w:val="4"/>
    <w:next w:val="1"/>
    <w:link w:val="42"/>
    <w:qFormat/>
    <w:uiPriority w:val="0"/>
    <w:pPr>
      <w:outlineLvl w:val="1"/>
    </w:pPr>
    <w:rPr>
      <w:sz w:val="28"/>
    </w:rPr>
  </w:style>
  <w:style w:type="paragraph" w:styleId="6">
    <w:name w:val="heading 3"/>
    <w:basedOn w:val="1"/>
    <w:next w:val="1"/>
    <w:link w:val="43"/>
    <w:qFormat/>
    <w:uiPriority w:val="0"/>
    <w:pPr>
      <w:spacing w:line="480" w:lineRule="atLeast"/>
      <w:outlineLvl w:val="2"/>
    </w:pPr>
    <w:rPr>
      <w:rFonts w:ascii="宋体" w:hAnsi="宋体" w:eastAsia="宋体"/>
      <w:sz w:val="24"/>
      <w:szCs w:val="24"/>
    </w:rPr>
  </w:style>
  <w:style w:type="paragraph" w:styleId="3">
    <w:name w:val="heading 4"/>
    <w:basedOn w:val="1"/>
    <w:next w:val="2"/>
    <w:link w:val="4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styleId="7">
    <w:name w:val="caption"/>
    <w:basedOn w:val="1"/>
    <w:next w:val="1"/>
    <w:link w:val="71"/>
    <w:qFormat/>
    <w:uiPriority w:val="0"/>
    <w:pPr>
      <w:jc w:val="center"/>
    </w:pPr>
    <w:rPr>
      <w:rFonts w:ascii="宋体" w:hAnsi="Arial" w:eastAsia="宋体" w:cs="Arial"/>
    </w:rPr>
  </w:style>
  <w:style w:type="paragraph" w:styleId="8">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3"/>
    <w:qFormat/>
    <w:uiPriority w:val="0"/>
    <w:pPr>
      <w:jc w:val="left"/>
    </w:pPr>
    <w:rPr>
      <w:szCs w:val="24"/>
    </w:rPr>
  </w:style>
  <w:style w:type="paragraph" w:styleId="10">
    <w:name w:val="Body Text 3"/>
    <w:basedOn w:val="1"/>
    <w:link w:val="75"/>
    <w:qFormat/>
    <w:uiPriority w:val="0"/>
    <w:pPr>
      <w:spacing w:after="120"/>
    </w:pPr>
    <w:rPr>
      <w:rFonts w:ascii="Times New Roman" w:hAnsi="Times New Roman" w:eastAsia="宋体" w:cs="Times New Roman"/>
      <w:sz w:val="16"/>
      <w:szCs w:val="16"/>
    </w:rPr>
  </w:style>
  <w:style w:type="paragraph" w:styleId="11">
    <w:name w:val="Body Text"/>
    <w:basedOn w:val="1"/>
    <w:next w:val="12"/>
    <w:link w:val="79"/>
    <w:qFormat/>
    <w:uiPriority w:val="0"/>
    <w:rPr>
      <w:rFonts w:ascii="Times New Roman" w:hAnsi="Times New Roman" w:eastAsia="宋体" w:cs="Times New Roman"/>
      <w:sz w:val="32"/>
      <w:szCs w:val="20"/>
    </w:rPr>
  </w:style>
  <w:style w:type="paragraph" w:styleId="12">
    <w:name w:val="List Bullet 5"/>
    <w:basedOn w:val="1"/>
    <w:semiHidden/>
    <w:unhideWhenUsed/>
    <w:qFormat/>
    <w:uiPriority w:val="99"/>
    <w:pPr>
      <w:numPr>
        <w:ilvl w:val="0"/>
        <w:numId w:val="1"/>
      </w:numPr>
    </w:pPr>
  </w:style>
  <w:style w:type="paragraph" w:styleId="13">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next w:val="1"/>
    <w:link w:val="73"/>
    <w:qFormat/>
    <w:uiPriority w:val="0"/>
    <w:rPr>
      <w:rFonts w:ascii="宋体" w:hAnsi="Courier New" w:eastAsia="宋体"/>
    </w:rPr>
  </w:style>
  <w:style w:type="paragraph" w:styleId="17">
    <w:name w:val="Date"/>
    <w:basedOn w:val="1"/>
    <w:next w:val="1"/>
    <w:link w:val="46"/>
    <w:unhideWhenUsed/>
    <w:qFormat/>
    <w:uiPriority w:val="0"/>
    <w:pPr>
      <w:ind w:left="100" w:leftChars="2500"/>
    </w:pPr>
  </w:style>
  <w:style w:type="paragraph" w:styleId="18">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5"/>
    <w:unhideWhenUsed/>
    <w:qFormat/>
    <w:uiPriority w:val="0"/>
    <w:rPr>
      <w:sz w:val="18"/>
      <w:szCs w:val="18"/>
    </w:rPr>
  </w:style>
  <w:style w:type="paragraph" w:styleId="20">
    <w:name w:val="footer"/>
    <w:basedOn w:val="1"/>
    <w:next w:val="1"/>
    <w:link w:val="48"/>
    <w:unhideWhenUsed/>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2"/>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4"/>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74"/>
    <w:qFormat/>
    <w:uiPriority w:val="0"/>
    <w:rPr>
      <w:b/>
      <w:bCs/>
    </w:rPr>
  </w:style>
  <w:style w:type="paragraph" w:styleId="30">
    <w:name w:val="Body Text First Indent"/>
    <w:basedOn w:val="11"/>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Default"/>
    <w:next w:val="16"/>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0">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1">
    <w:name w:val="标题 1 Char"/>
    <w:basedOn w:val="33"/>
    <w:link w:val="4"/>
    <w:qFormat/>
    <w:uiPriority w:val="0"/>
    <w:rPr>
      <w:rFonts w:ascii="宋体" w:hAnsi="宋体" w:eastAsia="宋体"/>
      <w:b/>
      <w:sz w:val="30"/>
      <w:szCs w:val="30"/>
    </w:rPr>
  </w:style>
  <w:style w:type="character" w:customStyle="1" w:styleId="42">
    <w:name w:val="标题 2 Char"/>
    <w:basedOn w:val="33"/>
    <w:link w:val="5"/>
    <w:qFormat/>
    <w:uiPriority w:val="0"/>
    <w:rPr>
      <w:rFonts w:ascii="宋体" w:hAnsi="宋体" w:eastAsia="宋体"/>
      <w:b/>
      <w:sz w:val="28"/>
      <w:szCs w:val="30"/>
    </w:rPr>
  </w:style>
  <w:style w:type="character" w:customStyle="1" w:styleId="43">
    <w:name w:val="标题 3 Char"/>
    <w:basedOn w:val="33"/>
    <w:link w:val="6"/>
    <w:qFormat/>
    <w:uiPriority w:val="0"/>
    <w:rPr>
      <w:rFonts w:ascii="宋体" w:hAnsi="宋体" w:eastAsia="宋体"/>
      <w:sz w:val="24"/>
      <w:szCs w:val="24"/>
    </w:rPr>
  </w:style>
  <w:style w:type="character" w:customStyle="1" w:styleId="44">
    <w:name w:val="标题 4 Char"/>
    <w:basedOn w:val="33"/>
    <w:link w:val="3"/>
    <w:qFormat/>
    <w:uiPriority w:val="0"/>
    <w:rPr>
      <w:rFonts w:ascii="Arial" w:hAnsi="Arial" w:eastAsia="黑体" w:cs="Times New Roman"/>
      <w:b/>
      <w:bCs/>
      <w:sz w:val="28"/>
      <w:szCs w:val="28"/>
    </w:rPr>
  </w:style>
  <w:style w:type="character" w:customStyle="1" w:styleId="45">
    <w:name w:val="批注框文本 Char"/>
    <w:basedOn w:val="33"/>
    <w:link w:val="19"/>
    <w:qFormat/>
    <w:uiPriority w:val="0"/>
    <w:rPr>
      <w:sz w:val="18"/>
      <w:szCs w:val="18"/>
    </w:rPr>
  </w:style>
  <w:style w:type="character" w:customStyle="1" w:styleId="46">
    <w:name w:val="日期 Char"/>
    <w:basedOn w:val="33"/>
    <w:link w:val="17"/>
    <w:qFormat/>
    <w:uiPriority w:val="0"/>
  </w:style>
  <w:style w:type="character" w:customStyle="1" w:styleId="47">
    <w:name w:val="页眉 Char"/>
    <w:basedOn w:val="33"/>
    <w:link w:val="21"/>
    <w:qFormat/>
    <w:uiPriority w:val="0"/>
    <w:rPr>
      <w:sz w:val="18"/>
      <w:szCs w:val="18"/>
    </w:rPr>
  </w:style>
  <w:style w:type="character" w:customStyle="1" w:styleId="48">
    <w:name w:val="页脚 Char"/>
    <w:basedOn w:val="33"/>
    <w:link w:val="20"/>
    <w:qFormat/>
    <w:uiPriority w:val="99"/>
    <w:rPr>
      <w:sz w:val="18"/>
      <w:szCs w:val="18"/>
    </w:rPr>
  </w:style>
  <w:style w:type="character" w:customStyle="1" w:styleId="49">
    <w:name w:val="apple-converted-space"/>
    <w:basedOn w:val="33"/>
    <w:qFormat/>
    <w:uiPriority w:val="0"/>
  </w:style>
  <w:style w:type="character" w:customStyle="1" w:styleId="50">
    <w:name w:val="表内容@ Char"/>
    <w:basedOn w:val="33"/>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3"/>
    <w:link w:val="9"/>
    <w:qFormat/>
    <w:uiPriority w:val="0"/>
    <w:rPr>
      <w:szCs w:val="24"/>
    </w:rPr>
  </w:style>
  <w:style w:type="character" w:customStyle="1" w:styleId="54">
    <w:name w:val="样式 正文@ + 首行缩进:  2 字符2 Char"/>
    <w:basedOn w:val="33"/>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3"/>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3"/>
    <w:qFormat/>
    <w:uiPriority w:val="0"/>
    <w:rPr>
      <w:rFonts w:hint="default" w:ascii="ˎ̥" w:hAnsi="ˎ̥"/>
      <w:color w:val="5C5C5C"/>
      <w:sz w:val="23"/>
      <w:szCs w:val="23"/>
      <w:u w:val="none"/>
    </w:rPr>
  </w:style>
  <w:style w:type="character" w:customStyle="1" w:styleId="59">
    <w:name w:val="正文2 Char Char"/>
    <w:basedOn w:val="33"/>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3"/>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3"/>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3"/>
    <w:qFormat/>
    <w:uiPriority w:val="0"/>
  </w:style>
  <w:style w:type="character" w:customStyle="1" w:styleId="66">
    <w:name w:val="正文1 Char"/>
    <w:basedOn w:val="33"/>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3"/>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3"/>
    <w:link w:val="2"/>
    <w:qFormat/>
    <w:uiPriority w:val="0"/>
    <w:rPr>
      <w:rFonts w:eastAsia="宋体"/>
      <w:szCs w:val="24"/>
    </w:rPr>
  </w:style>
  <w:style w:type="character" w:customStyle="1" w:styleId="71">
    <w:name w:val="题注 Char"/>
    <w:basedOn w:val="33"/>
    <w:link w:val="7"/>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6"/>
    <w:qFormat/>
    <w:uiPriority w:val="0"/>
    <w:rPr>
      <w:rFonts w:ascii="宋体" w:hAnsi="Courier New" w:eastAsia="宋体"/>
    </w:rPr>
  </w:style>
  <w:style w:type="character" w:customStyle="1" w:styleId="74">
    <w:name w:val="批注主题 Char"/>
    <w:basedOn w:val="53"/>
    <w:link w:val="29"/>
    <w:qFormat/>
    <w:uiPriority w:val="0"/>
    <w:rPr>
      <w:b/>
      <w:bCs/>
      <w:szCs w:val="24"/>
    </w:rPr>
  </w:style>
  <w:style w:type="character" w:customStyle="1" w:styleId="75">
    <w:name w:val="正文文本 3 Char"/>
    <w:basedOn w:val="33"/>
    <w:link w:val="10"/>
    <w:qFormat/>
    <w:uiPriority w:val="0"/>
    <w:rPr>
      <w:rFonts w:ascii="Times New Roman" w:hAnsi="Times New Roman" w:eastAsia="宋体" w:cs="Times New Roman"/>
      <w:sz w:val="16"/>
      <w:szCs w:val="16"/>
    </w:rPr>
  </w:style>
  <w:style w:type="character" w:customStyle="1" w:styleId="76">
    <w:name w:val="文档结构图 Char"/>
    <w:basedOn w:val="33"/>
    <w:link w:val="8"/>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3"/>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3"/>
    <w:link w:val="11"/>
    <w:qFormat/>
    <w:uiPriority w:val="0"/>
    <w:rPr>
      <w:rFonts w:ascii="Times New Roman" w:hAnsi="Times New Roman" w:eastAsia="宋体" w:cs="Times New Roman"/>
      <w:sz w:val="32"/>
      <w:szCs w:val="20"/>
    </w:rPr>
  </w:style>
  <w:style w:type="character" w:customStyle="1" w:styleId="80">
    <w:name w:val="正文文本缩进 Char"/>
    <w:basedOn w:val="33"/>
    <w:link w:val="13"/>
    <w:qFormat/>
    <w:uiPriority w:val="0"/>
    <w:rPr>
      <w:rFonts w:ascii="宋体" w:hAnsi="Times New Roman" w:eastAsia="宋体" w:cs="Times New Roman"/>
      <w:sz w:val="24"/>
      <w:szCs w:val="24"/>
    </w:rPr>
  </w:style>
  <w:style w:type="character" w:customStyle="1" w:styleId="81">
    <w:name w:val="纯文本 字符1"/>
    <w:basedOn w:val="33"/>
    <w:semiHidden/>
    <w:qFormat/>
    <w:uiPriority w:val="99"/>
    <w:rPr>
      <w:rFonts w:hAnsi="Courier New" w:cs="Courier New" w:asciiTheme="minorEastAsia"/>
    </w:rPr>
  </w:style>
  <w:style w:type="character" w:customStyle="1" w:styleId="82">
    <w:name w:val="正文文本缩进 3 Char"/>
    <w:basedOn w:val="33"/>
    <w:link w:val="24"/>
    <w:qFormat/>
    <w:uiPriority w:val="0"/>
    <w:rPr>
      <w:rFonts w:ascii="宋体" w:hAnsi="Times New Roman" w:eastAsia="宋体" w:cs="Times New Roman"/>
      <w:sz w:val="28"/>
      <w:szCs w:val="20"/>
    </w:rPr>
  </w:style>
  <w:style w:type="character" w:customStyle="1" w:styleId="83">
    <w:name w:val="正文文本缩进 2 Char"/>
    <w:basedOn w:val="33"/>
    <w:link w:val="18"/>
    <w:qFormat/>
    <w:uiPriority w:val="0"/>
    <w:rPr>
      <w:rFonts w:ascii="Times New Roman" w:hAnsi="Times New Roman" w:eastAsia="宋体" w:cs="Times New Roman"/>
      <w:sz w:val="28"/>
      <w:szCs w:val="20"/>
    </w:rPr>
  </w:style>
  <w:style w:type="character" w:customStyle="1" w:styleId="84">
    <w:name w:val="正文文本 2 Char"/>
    <w:basedOn w:val="33"/>
    <w:link w:val="26"/>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39"/>
    <w:next w:val="39"/>
    <w:qFormat/>
    <w:uiPriority w:val="0"/>
    <w:pPr>
      <w:spacing w:line="626" w:lineRule="atLeast"/>
    </w:pPr>
    <w:rPr>
      <w:rFonts w:hAnsi="Times New Roman" w:cs="Times New Roman"/>
      <w:color w:val="auto"/>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39"/>
    <w:next w:val="39"/>
    <w:qFormat/>
    <w:uiPriority w:val="0"/>
    <w:pPr>
      <w:spacing w:line="468" w:lineRule="atLeast"/>
    </w:pPr>
    <w:rPr>
      <w:rFonts w:hAnsi="Times New Roman" w:cs="Times New Roman"/>
      <w:color w:val="auto"/>
    </w:rPr>
  </w:style>
  <w:style w:type="paragraph" w:customStyle="1" w:styleId="92">
    <w:name w:val="CM7"/>
    <w:basedOn w:val="39"/>
    <w:next w:val="39"/>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39"/>
    <w:next w:val="39"/>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39"/>
    <w:next w:val="39"/>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3"/>
    <w:qFormat/>
    <w:uiPriority w:val="0"/>
    <w:pPr>
      <w:spacing w:line="500" w:lineRule="exact"/>
      <w:ind w:firstLine="567"/>
    </w:pPr>
    <w:rPr>
      <w:sz w:val="28"/>
      <w:szCs w:val="20"/>
    </w:rPr>
  </w:style>
  <w:style w:type="paragraph" w:customStyle="1" w:styleId="104">
    <w:name w:val="CM51"/>
    <w:basedOn w:val="39"/>
    <w:next w:val="39"/>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6"/>
    <w:qFormat/>
    <w:uiPriority w:val="0"/>
    <w:rPr>
      <w:rFonts w:ascii="宋体" w:hAnsi="Courier New" w:eastAsia="宋体" w:cs="Courier New"/>
      <w:szCs w:val="21"/>
    </w:rPr>
  </w:style>
  <w:style w:type="paragraph" w:customStyle="1" w:styleId="108">
    <w:name w:val="CM5"/>
    <w:basedOn w:val="39"/>
    <w:next w:val="39"/>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39"/>
    <w:next w:val="39"/>
    <w:qFormat/>
    <w:uiPriority w:val="0"/>
    <w:rPr>
      <w:rFonts w:hAnsi="Times New Roman" w:cs="Times New Roman"/>
      <w:color w:val="auto"/>
    </w:rPr>
  </w:style>
  <w:style w:type="paragraph" w:customStyle="1" w:styleId="115">
    <w:name w:val="CM109"/>
    <w:basedOn w:val="39"/>
    <w:next w:val="39"/>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7"/>
    <customShpInfo spid="_x0000_s1199"/>
    <customShpInfo spid="_x0000_s1198"/>
    <customShpInfo spid="_x0000_s1201"/>
    <customShpInfo spid="_x0000_s120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40</Pages>
  <Words>14570</Words>
  <Characters>19040</Characters>
  <Lines>234</Lines>
  <Paragraphs>66</Paragraphs>
  <TotalTime>17</TotalTime>
  <ScaleCrop>false</ScaleCrop>
  <LinksUpToDate>false</LinksUpToDate>
  <CharactersWithSpaces>19408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2023-04-05T01:02:47Z</cp:lastPrinted>
  <dcterms:modified xsi:type="dcterms:W3CDTF">2023-04-05T01:03:06Z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2DD0601DC74D453DA8F802A73678D168</vt:lpwstr>
  </property>
</Properties>
</file>