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pacing w:val="60"/>
          <w:sz w:val="52"/>
          <w:szCs w:val="52"/>
        </w:rPr>
      </w:pPr>
    </w:p>
    <w:p>
      <w:pPr>
        <w:jc w:val="center"/>
        <w:rPr>
          <w:rFonts w:hint="default" w:ascii="Times New Roman" w:hAnsi="Times New Roman" w:eastAsia="宋体" w:cs="Times New Roman"/>
          <w:b/>
          <w:spacing w:val="60"/>
          <w:sz w:val="52"/>
          <w:szCs w:val="52"/>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bookmarkStart w:id="0" w:name="_Toc430609235"/>
      <w:bookmarkStart w:id="1" w:name="_Toc430619013"/>
      <w:r>
        <w:rPr>
          <w:rFonts w:hint="default" w:ascii="Times New Roman" w:hAnsi="Times New Roman" w:eastAsia="宋体" w:cs="Times New Roman"/>
          <w:b/>
          <w:bCs/>
          <w:sz w:val="72"/>
          <w:szCs w:val="72"/>
          <w:lang w:val="en-US" w:eastAsia="zh-CN"/>
        </w:rPr>
        <w:t>建设项目竣工环境保护</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r>
        <w:rPr>
          <w:rFonts w:hint="default" w:ascii="Times New Roman" w:hAnsi="Times New Roman" w:eastAsia="宋体" w:cs="Times New Roman"/>
          <w:b/>
          <w:bCs/>
          <w:sz w:val="72"/>
          <w:szCs w:val="72"/>
          <w:lang w:val="en-US" w:eastAsia="zh-CN"/>
        </w:rPr>
        <w:t>验收监测报告</w:t>
      </w:r>
    </w:p>
    <w:p>
      <w:pPr>
        <w:jc w:val="center"/>
        <w:rPr>
          <w:rFonts w:hint="default" w:ascii="Times New Roman" w:hAnsi="Times New Roman" w:eastAsia="宋体" w:cs="Times New Roman"/>
          <w:sz w:val="30"/>
          <w:lang w:val="en-US" w:eastAsia="zh-CN"/>
        </w:rPr>
      </w:pPr>
    </w:p>
    <w:p>
      <w:pPr>
        <w:spacing w:line="240" w:lineRule="auto"/>
        <w:jc w:val="center"/>
        <w:rPr>
          <w:rFonts w:hint="default" w:ascii="Times New Roman" w:hAnsi="Times New Roman" w:eastAsia="宋体" w:cs="Times New Roman"/>
          <w:b w:val="0"/>
          <w:bCs/>
          <w:sz w:val="30"/>
          <w:szCs w:val="30"/>
          <w:lang w:eastAsia="zh-CN"/>
        </w:rPr>
      </w:pPr>
      <w:r>
        <w:rPr>
          <w:rFonts w:hint="default" w:ascii="Times New Roman" w:hAnsi="Times New Roman" w:eastAsia="宋体" w:cs="Times New Roman"/>
          <w:b w:val="0"/>
          <w:bCs/>
          <w:sz w:val="30"/>
          <w:szCs w:val="30"/>
          <w:lang w:eastAsia="zh-CN"/>
        </w:rPr>
        <w:t>金环测字第</w:t>
      </w:r>
      <w:r>
        <w:rPr>
          <w:rFonts w:hint="eastAsia" w:ascii="Times New Roman" w:hAnsi="Times New Roman" w:eastAsia="宋体" w:cs="Times New Roman"/>
          <w:b w:val="0"/>
          <w:bCs/>
          <w:sz w:val="30"/>
          <w:szCs w:val="30"/>
          <w:lang w:val="en-US" w:eastAsia="zh-CN"/>
        </w:rPr>
        <w:t>2023070302</w:t>
      </w:r>
      <w:r>
        <w:rPr>
          <w:rFonts w:hint="default" w:ascii="Times New Roman" w:hAnsi="Times New Roman" w:eastAsia="宋体" w:cs="Times New Roman"/>
          <w:b w:val="0"/>
          <w:bCs/>
          <w:sz w:val="30"/>
          <w:szCs w:val="30"/>
          <w:lang w:eastAsia="zh-CN"/>
        </w:rPr>
        <w:t>-2号</w:t>
      </w:r>
    </w:p>
    <w:p>
      <w:pPr>
        <w:tabs>
          <w:tab w:val="left" w:pos="5514"/>
        </w:tabs>
        <w:jc w:val="center"/>
        <w:rPr>
          <w:rFonts w:hint="default" w:ascii="Times New Roman" w:hAnsi="Times New Roman" w:eastAsia="宋体" w:cs="Times New Roman"/>
        </w:rPr>
      </w:pPr>
    </w:p>
    <w:p>
      <w:pPr>
        <w:spacing w:line="600" w:lineRule="exact"/>
        <w:ind w:firstLine="157" w:firstLineChars="49"/>
        <w:jc w:val="center"/>
        <w:rPr>
          <w:rFonts w:hint="default" w:ascii="Times New Roman" w:hAnsi="Times New Roman" w:eastAsia="宋体" w:cs="Times New Roman"/>
          <w:b/>
          <w:sz w:val="32"/>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lang w:eastAsia="zh-CN"/>
        </w:rPr>
      </w:pPr>
    </w:p>
    <w:p>
      <w:pPr>
        <w:tabs>
          <w:tab w:val="left" w:pos="6825"/>
        </w:tabs>
        <w:ind w:right="-67" w:rightChars="-32"/>
        <w:jc w:val="center"/>
        <w:rPr>
          <w:rFonts w:hint="default" w:ascii="Times New Roman" w:hAnsi="Times New Roman" w:eastAsia="宋体" w:cs="Times New Roman"/>
          <w:b/>
          <w:sz w:val="32"/>
          <w:lang w:eastAsia="zh-CN"/>
        </w:rPr>
      </w:pPr>
    </w:p>
    <w:p>
      <w:pPr>
        <w:tabs>
          <w:tab w:val="left" w:pos="6825"/>
        </w:tabs>
        <w:ind w:right="-67" w:rightChars="-32"/>
        <w:jc w:val="center"/>
        <w:rPr>
          <w:rFonts w:hint="default" w:ascii="Times New Roman" w:hAnsi="Times New Roman" w:eastAsia="宋体" w:cs="Times New Roman"/>
          <w:b/>
          <w:sz w:val="32"/>
        </w:rPr>
      </w:pPr>
    </w:p>
    <w:p>
      <w:pPr>
        <w:spacing w:before="120" w:beforeLines="50" w:line="360" w:lineRule="auto"/>
        <w:jc w:val="center"/>
        <w:rPr>
          <w:rFonts w:hint="default" w:ascii="Times New Roman" w:hAnsi="Times New Roman" w:eastAsia="宋体" w:cs="Times New Roman"/>
          <w:sz w:val="28"/>
          <w:szCs w:val="28"/>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500" w:firstLineChars="500"/>
        <w:jc w:val="both"/>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项目名称：</w:t>
      </w:r>
      <w:r>
        <w:rPr>
          <w:rFonts w:hint="eastAsia" w:ascii="Times New Roman" w:hAnsi="Times New Roman" w:eastAsia="宋体" w:cs="Times New Roman"/>
          <w:sz w:val="30"/>
          <w:szCs w:val="30"/>
          <w:lang w:val="en-US" w:eastAsia="zh-CN"/>
        </w:rPr>
        <w:t>河北军锋鑫诚纸制品有限公司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default" w:ascii="Times New Roman" w:hAnsi="Times New Roman" w:eastAsia="宋体" w:cs="Times New Roman"/>
          <w:spacing w:val="-6"/>
          <w:sz w:val="30"/>
          <w:szCs w:val="30"/>
          <w:lang w:eastAsia="zh-CN"/>
        </w:rPr>
      </w:pPr>
      <w:r>
        <w:rPr>
          <w:rFonts w:hint="eastAsia" w:ascii="Times New Roman" w:hAnsi="Times New Roman" w:eastAsia="宋体" w:cs="Times New Roman"/>
          <w:spacing w:val="-17"/>
          <w:sz w:val="30"/>
          <w:szCs w:val="30"/>
          <w:lang w:eastAsia="zh-CN"/>
        </w:rPr>
        <w:t>包装制品生产项目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1500" w:firstLineChars="500"/>
        <w:jc w:val="both"/>
        <w:textAlignment w:val="auto"/>
        <w:outlineLvl w:val="9"/>
        <w:rPr>
          <w:rFonts w:hint="default" w:ascii="Times New Roman" w:hAnsi="Times New Roman" w:eastAsia="宋体" w:cs="Times New Roman"/>
          <w:sz w:val="30"/>
          <w:szCs w:val="30"/>
          <w:u w:val="none"/>
          <w:lang w:val="en-US"/>
        </w:rPr>
      </w:pPr>
      <w:r>
        <w:rPr>
          <w:rFonts w:hint="default" w:ascii="Times New Roman" w:hAnsi="Times New Roman" w:eastAsia="宋体" w:cs="Times New Roman"/>
          <w:sz w:val="30"/>
          <w:szCs w:val="30"/>
        </w:rPr>
        <w:t>委托单位：</w:t>
      </w:r>
      <w:r>
        <w:rPr>
          <w:rFonts w:hint="eastAsia" w:ascii="Times New Roman" w:hAnsi="Times New Roman" w:eastAsia="宋体" w:cs="Times New Roman"/>
          <w:sz w:val="30"/>
          <w:szCs w:val="30"/>
          <w:lang w:val="en-US" w:eastAsia="zh-CN"/>
        </w:rPr>
        <w:t>河北军锋鑫诚纸制品有限公司</w:t>
      </w:r>
    </w:p>
    <w:p>
      <w:pPr>
        <w:spacing w:line="60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p>
    <w:p>
      <w:pPr>
        <w:pStyle w:val="7"/>
        <w:rPr>
          <w:rFonts w:hint="default" w:ascii="Times New Roman" w:hAnsi="Times New Roman" w:eastAsia="宋体" w:cs="Times New Roman"/>
          <w:lang w:val="en-US" w:eastAsia="zh-CN"/>
        </w:rPr>
      </w:pPr>
    </w:p>
    <w:p>
      <w:pPr>
        <w:spacing w:line="360" w:lineRule="auto"/>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河北金亿嘉环境监测技术服务有限公司</w:t>
      </w:r>
    </w:p>
    <w:p>
      <w:pPr>
        <w:spacing w:line="360" w:lineRule="auto"/>
        <w:jc w:val="center"/>
        <w:rPr>
          <w:rFonts w:hint="default" w:ascii="Times New Roman" w:hAnsi="Times New Roman" w:eastAsia="宋体" w:cs="Times New Roman"/>
          <w:color w:val="auto"/>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color w:val="auto"/>
          <w:sz w:val="30"/>
          <w:szCs w:val="30"/>
        </w:rPr>
        <w:t>二〇</w:t>
      </w:r>
      <w:r>
        <w:rPr>
          <w:rFonts w:hint="default" w:ascii="Times New Roman" w:hAnsi="Times New Roman" w:eastAsia="宋体" w:cs="Times New Roman"/>
          <w:color w:val="auto"/>
          <w:sz w:val="30"/>
          <w:szCs w:val="30"/>
          <w:lang w:val="en-US" w:eastAsia="zh-CN"/>
        </w:rPr>
        <w:t>二三</w:t>
      </w:r>
      <w:r>
        <w:rPr>
          <w:rFonts w:hint="default" w:ascii="Times New Roman" w:hAnsi="Times New Roman" w:eastAsia="宋体" w:cs="Times New Roman"/>
          <w:color w:val="auto"/>
          <w:sz w:val="30"/>
          <w:szCs w:val="30"/>
        </w:rPr>
        <w:t>年</w:t>
      </w:r>
      <w:r>
        <w:rPr>
          <w:rFonts w:hint="eastAsia" w:ascii="Times New Roman" w:hAnsi="Times New Roman" w:eastAsia="宋体" w:cs="Times New Roman"/>
          <w:color w:val="auto"/>
          <w:sz w:val="30"/>
          <w:szCs w:val="30"/>
          <w:lang w:val="en-US" w:eastAsia="zh-CN"/>
        </w:rPr>
        <w:t>七</w:t>
      </w:r>
      <w:r>
        <w:rPr>
          <w:rFonts w:hint="default" w:ascii="Times New Roman" w:hAnsi="Times New Roman" w:eastAsia="宋体" w:cs="Times New Roman"/>
          <w:color w:val="auto"/>
          <w:sz w:val="30"/>
          <w:szCs w:val="30"/>
        </w:rPr>
        <w:t>月</w:t>
      </w:r>
    </w:p>
    <w:p>
      <w:pP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sz w:val="48"/>
          <w:szCs w:val="48"/>
        </w:rPr>
      </w:pPr>
      <w:r>
        <w:rPr>
          <w:rFonts w:hint="default" w:ascii="Times New Roman" w:hAnsi="Times New Roman" w:eastAsia="宋体" w:cs="Times New Roman"/>
          <w:sz w:val="48"/>
          <w:szCs w:val="48"/>
        </w:rPr>
        <w:t>注 意 事 项</w:t>
      </w:r>
    </w:p>
    <w:p>
      <w:pPr>
        <w:ind w:firstLine="800"/>
        <w:rPr>
          <w:rFonts w:hint="default" w:ascii="Times New Roman" w:hAnsi="Times New Roman" w:eastAsia="宋体" w:cs="Times New Roman"/>
          <w:sz w:val="32"/>
          <w:szCs w:val="32"/>
        </w:rPr>
      </w:pPr>
    </w:p>
    <w:p>
      <w:pPr>
        <w:numPr>
          <w:ilvl w:val="0"/>
          <w:numId w:val="2"/>
        </w:num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报告封面无检验检测专用章/公章、骑缝章无效。报告无编制人、审核人及授权签字人签字或等效标识无效。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3、报告涂改、增删无效。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4、复制报告需经本公司同意或授权。</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5、未经本公司同意不得将报告作为商业广告等宣传使用。</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6、本报告仅对本次监测结果负责，如有异议，请在收到监测报告15日内向本公司提出书面申诉，逾期不提出，视为认可监测报告。</w:t>
      </w:r>
    </w:p>
    <w:p>
      <w:pPr>
        <w:spacing w:line="480" w:lineRule="auto"/>
        <w:ind w:firstLine="980" w:firstLineChars="350"/>
        <w:rPr>
          <w:rFonts w:hint="default" w:ascii="Times New Roman" w:hAnsi="Times New Roman" w:eastAsia="宋体" w:cs="Times New Roman"/>
          <w:sz w:val="30"/>
        </w:rPr>
      </w:pPr>
      <w:r>
        <w:rPr>
          <w:rFonts w:hint="default" w:ascii="Times New Roman" w:hAnsi="Times New Roman" w:eastAsia="宋体" w:cs="Times New Roman"/>
          <w:color w:val="auto"/>
          <w:sz w:val="28"/>
          <w:szCs w:val="28"/>
        </w:rPr>
        <w:t>7、由委托单位自行采集的样品，本公司仅对送检样品监测数据负责，不对样品来源负责，报告中所附限值仅供参考</w:t>
      </w:r>
      <w:r>
        <w:rPr>
          <w:rFonts w:hint="default" w:ascii="Times New Roman" w:hAnsi="Times New Roman" w:eastAsia="宋体" w:cs="Times New Roman"/>
          <w:sz w:val="28"/>
          <w:szCs w:val="28"/>
        </w:rPr>
        <w:t>。</w:t>
      </w:r>
    </w:p>
    <w:p>
      <w:pPr>
        <w:pStyle w:val="7"/>
        <w:ind w:left="0" w:leftChars="0" w:firstLine="0" w:firstLineChars="0"/>
        <w:rPr>
          <w:rFonts w:hint="default" w:ascii="Times New Roman" w:hAnsi="Times New Roman" w:eastAsia="宋体" w:cs="Times New Roman"/>
          <w:lang w:val="en-US" w:eastAsia="zh-CN"/>
        </w:rPr>
      </w:pPr>
    </w:p>
    <w:p>
      <w:pPr>
        <w:spacing w:line="860" w:lineRule="exact"/>
        <w:ind w:firstLine="570"/>
        <w:rPr>
          <w:rFonts w:hint="default" w:ascii="Times New Roman" w:hAnsi="Times New Roman" w:eastAsia="宋体" w:cs="Times New Roman"/>
          <w:sz w:val="30"/>
          <w:szCs w:val="30"/>
        </w:rPr>
        <w:sectPr>
          <w:headerReference r:id="rId3" w:type="default"/>
          <w:footerReference r:id="rId4" w:type="default"/>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Toc430609233"/>
      <w:bookmarkStart w:id="3" w:name="_Toc430619011"/>
    </w:p>
    <w:p>
      <w:pPr>
        <w:spacing w:line="860" w:lineRule="exact"/>
        <w:ind w:firstLine="570"/>
        <w:rPr>
          <w:rFonts w:hint="default" w:ascii="Times New Roman" w:hAnsi="Times New Roman" w:eastAsia="宋体" w:cs="Times New Roman"/>
          <w:sz w:val="30"/>
          <w:szCs w:val="30"/>
        </w:rPr>
      </w:pP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编    写：</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审    核：</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签    发：</w:t>
      </w:r>
    </w:p>
    <w:p>
      <w:pPr>
        <w:spacing w:line="720" w:lineRule="auto"/>
        <w:ind w:firstLine="60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sz w:val="30"/>
          <w:szCs w:val="30"/>
        </w:rPr>
        <w:t>监测人员：郭浩琛、王森、李杨</w:t>
      </w: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郭欢雨</w:t>
      </w:r>
    </w:p>
    <w:p>
      <w:pPr>
        <w:pStyle w:val="7"/>
        <w:spacing w:line="480" w:lineRule="auto"/>
        <w:rPr>
          <w:rFonts w:hint="default" w:ascii="Times New Roman" w:hAnsi="Times New Roman" w:eastAsia="宋体" w:cs="Times New Roman"/>
        </w:rPr>
      </w:pPr>
    </w:p>
    <w:p>
      <w:pPr>
        <w:pStyle w:val="6"/>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公司名称：河北金亿嘉环境监测技术服务有限公司</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    址：河北省沧州市河间市北环手拉手汽配城E1-020-E1-021</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电    话：15230776611、13191991919</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传    真：0317-3296755</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bookmarkStart w:id="4" w:name="OLE_LINK1"/>
      <w:r>
        <w:rPr>
          <w:rFonts w:hint="default" w:ascii="Times New Roman" w:hAnsi="Times New Roman" w:eastAsia="宋体" w:cs="Times New Roman"/>
          <w:sz w:val="30"/>
          <w:szCs w:val="30"/>
        </w:rPr>
        <w:t>电子邮箱：hbjyj0317@163.com</w:t>
      </w:r>
    </w:p>
    <w:bookmarkEnd w:id="4"/>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邮政邮编：062450</w:t>
      </w:r>
    </w:p>
    <w:p>
      <w:pPr>
        <w:pStyle w:val="7"/>
        <w:rPr>
          <w:rFonts w:hint="default" w:ascii="Times New Roman" w:hAnsi="Times New Roman" w:eastAsia="宋体" w:cs="Times New Roman"/>
          <w:sz w:val="30"/>
          <w:szCs w:val="30"/>
        </w:rPr>
      </w:pPr>
    </w:p>
    <w:p>
      <w:pPr>
        <w:pStyle w:val="6"/>
        <w:rPr>
          <w:rFonts w:hint="default" w:ascii="Times New Roman" w:hAnsi="Times New Roman" w:eastAsia="宋体" w:cs="Times New Roman"/>
        </w:rPr>
        <w:sectPr>
          <w:headerReference r:id="rId5" w:type="default"/>
          <w:endnotePr>
            <w:numFmt w:val="decimal"/>
          </w:endnotePr>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表一 基本概况</w:t>
      </w:r>
      <w:bookmarkEnd w:id="2"/>
      <w:bookmarkEnd w:id="3"/>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38"/>
        <w:gridCol w:w="1159"/>
        <w:gridCol w:w="878"/>
        <w:gridCol w:w="728"/>
        <w:gridCol w:w="868"/>
        <w:gridCol w:w="17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河北军锋鑫诚纸制品有限公司</w:t>
            </w:r>
            <w:bookmarkStart w:id="20" w:name="_GoBack"/>
            <w:r>
              <w:rPr>
                <w:rFonts w:hint="eastAsia" w:ascii="Times New Roman" w:hAnsi="Times New Roman" w:eastAsia="宋体" w:cs="Times New Roman"/>
                <w:sz w:val="24"/>
                <w:szCs w:val="24"/>
                <w:lang w:eastAsia="zh-CN"/>
              </w:rPr>
              <w:t>包装制品生产项目</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河北军锋鑫诚纸制品有限公司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建设项目主管部门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color w:val="auto"/>
                <w:sz w:val="24"/>
                <w:szCs w:val="24"/>
                <w:lang w:eastAsia="zh-CN"/>
              </w:rPr>
              <w:t>河间市行政审批局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建设项目性质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改建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扩建</w:t>
            </w: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技改</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迁建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主要产品名称</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实际生产能力</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纸箱</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pacing w:val="0"/>
                <w:sz w:val="24"/>
                <w:szCs w:val="24"/>
                <w:lang w:val="en-US" w:eastAsia="zh-CN"/>
              </w:rPr>
              <w:t>年产纸箱4500万平方米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环评时间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2.12</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lang w:eastAsia="zh-CN"/>
              </w:rPr>
              <w:t>竣工调试</w:t>
            </w:r>
            <w:r>
              <w:rPr>
                <w:rFonts w:hint="default" w:ascii="Times New Roman" w:hAnsi="Times New Roman" w:eastAsia="宋体" w:cs="Times New Roman"/>
                <w:color w:val="auto"/>
                <w:spacing w:val="-4"/>
                <w:sz w:val="24"/>
                <w:szCs w:val="24"/>
              </w:rPr>
              <w:t>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现场监测时间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2023.07.03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2023.07.04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评审报告表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审批部门</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河间市行政审批局</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highlight w:val="none"/>
              </w:rPr>
            </w:pPr>
            <w:bookmarkStart w:id="5" w:name="_Toc389223293"/>
            <w:bookmarkStart w:id="6" w:name="_Toc389568436"/>
            <w:r>
              <w:rPr>
                <w:rFonts w:hint="default" w:ascii="Times New Roman" w:hAnsi="Times New Roman" w:eastAsia="宋体" w:cs="Times New Roman"/>
                <w:color w:val="auto"/>
                <w:spacing w:val="-4"/>
                <w:sz w:val="24"/>
                <w:szCs w:val="24"/>
                <w:highlight w:val="none"/>
              </w:rPr>
              <w:t>环评报告表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编制单位</w:t>
            </w:r>
            <w:bookmarkEnd w:id="5"/>
            <w:bookmarkEnd w:id="6"/>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投资总概算</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25000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环保投资总概算（万元）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200</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0.80</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实际总投资</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14000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实际环保投资（万元）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200</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1.43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73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1.国务院第</w:t>
            </w:r>
            <w:r>
              <w:rPr>
                <w:rFonts w:hint="default" w:ascii="Times New Roman" w:hAnsi="Times New Roman" w:eastAsia="宋体" w:cs="Times New Roman"/>
                <w:color w:val="auto"/>
                <w:w w:val="100"/>
                <w:sz w:val="24"/>
                <w:szCs w:val="24"/>
                <w:highlight w:val="none"/>
                <w:lang w:val="en-US" w:eastAsia="zh-CN"/>
              </w:rPr>
              <w:t>682</w:t>
            </w:r>
            <w:r>
              <w:rPr>
                <w:rFonts w:hint="default" w:ascii="Times New Roman" w:hAnsi="Times New Roman" w:eastAsia="宋体" w:cs="Times New Roman"/>
                <w:color w:val="auto"/>
                <w:w w:val="100"/>
                <w:sz w:val="24"/>
                <w:szCs w:val="24"/>
                <w:highlight w:val="none"/>
              </w:rPr>
              <w:t>号令，国务院关于修改《建设项目环境保护管理条例》的决定</w:t>
            </w:r>
            <w:r>
              <w:rPr>
                <w:rFonts w:hint="default" w:ascii="Times New Roman" w:hAnsi="Times New Roman" w:eastAsia="宋体" w:cs="Times New Roman"/>
                <w:color w:val="auto"/>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2.</w:t>
            </w:r>
            <w:r>
              <w:rPr>
                <w:rFonts w:hint="default" w:ascii="Times New Roman" w:hAnsi="Times New Roman" w:eastAsia="宋体" w:cs="Times New Roman"/>
                <w:color w:val="auto"/>
                <w:sz w:val="24"/>
                <w:highlight w:val="none"/>
              </w:rPr>
              <w:t>国环规环评[2017]4号，《建设项目竣工环境保护验收暂行办法》</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3.</w:t>
            </w:r>
            <w:r>
              <w:rPr>
                <w:rFonts w:hint="default" w:ascii="Times New Roman" w:hAnsi="Times New Roman" w:eastAsia="宋体" w:cs="Times New Roman"/>
                <w:color w:val="auto"/>
                <w:sz w:val="24"/>
                <w:highlight w:val="none"/>
                <w:lang w:eastAsia="zh-CN"/>
              </w:rPr>
              <w:t>冀环办字函</w:t>
            </w:r>
            <w:r>
              <w:rPr>
                <w:rFonts w:hint="default" w:ascii="Times New Roman" w:hAnsi="Times New Roman" w:eastAsia="宋体" w:cs="Times New Roman"/>
                <w:color w:val="auto"/>
                <w:sz w:val="24"/>
                <w:highlight w:val="none"/>
              </w:rPr>
              <w:t>[2017]</w:t>
            </w:r>
            <w:r>
              <w:rPr>
                <w:rFonts w:hint="default" w:ascii="Times New Roman" w:hAnsi="Times New Roman" w:eastAsia="宋体" w:cs="Times New Roman"/>
                <w:color w:val="auto"/>
                <w:sz w:val="24"/>
                <w:highlight w:val="none"/>
                <w:lang w:val="en-US" w:eastAsia="zh-CN"/>
              </w:rPr>
              <w:t>727号，</w:t>
            </w:r>
            <w:r>
              <w:rPr>
                <w:rFonts w:hint="default" w:ascii="Times New Roman" w:hAnsi="Times New Roman" w:eastAsia="宋体" w:cs="Times New Roman"/>
                <w:color w:val="auto"/>
                <w:sz w:val="24"/>
                <w:highlight w:val="none"/>
              </w:rPr>
              <w:t>关于印发《建设项目环境影响评价文件审批及建设单位自主开展环境保护设施验收工作指引（试行）》的</w:t>
            </w:r>
            <w:r>
              <w:rPr>
                <w:rFonts w:hint="default" w:ascii="Times New Roman" w:hAnsi="Times New Roman" w:eastAsia="宋体" w:cs="Times New Roman"/>
                <w:color w:val="auto"/>
                <w:sz w:val="24"/>
                <w:highlight w:val="none"/>
                <w:lang w:eastAsia="zh-CN"/>
              </w:rPr>
              <w:t>通知；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b w:val="0"/>
                <w:i w:val="0"/>
                <w:caps w:val="0"/>
                <w:color w:val="000000"/>
                <w:spacing w:val="0"/>
                <w:sz w:val="24"/>
                <w:szCs w:val="24"/>
                <w:shd w:val="clear" w:fill="FFFFFF"/>
              </w:rPr>
              <w:t>公</w:t>
            </w:r>
            <w:r>
              <w:rPr>
                <w:rFonts w:hint="default" w:ascii="Times New Roman" w:hAnsi="Times New Roman" w:eastAsia="宋体" w:cs="Times New Roman"/>
                <w:color w:val="auto"/>
                <w:sz w:val="24"/>
                <w:highlight w:val="none"/>
                <w:lang w:eastAsia="zh-CN"/>
              </w:rPr>
              <w:t>告2018年第9号，</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sz w:val="24"/>
                <w:szCs w:val="24"/>
                <w:lang w:eastAsia="zh-CN"/>
              </w:rPr>
              <w:t>生态环境部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2018年05月16日</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kern w:val="2"/>
                <w:sz w:val="24"/>
                <w:szCs w:val="24"/>
                <w:highlight w:val="none"/>
                <w:lang w:val="en-US" w:eastAsia="zh-CN" w:bidi="ar-SA"/>
              </w:rPr>
              <w:t>5.</w:t>
            </w:r>
            <w:r>
              <w:rPr>
                <w:rFonts w:hint="eastAsia" w:ascii="Times New Roman" w:hAnsi="Times New Roman" w:eastAsia="宋体" w:cs="Times New Roman"/>
                <w:color w:val="auto"/>
                <w:w w:val="100"/>
                <w:kern w:val="2"/>
                <w:sz w:val="24"/>
                <w:szCs w:val="24"/>
                <w:highlight w:val="none"/>
                <w:lang w:val="en-US" w:eastAsia="zh-CN" w:bidi="ar-SA"/>
              </w:rPr>
              <w:t>石家庄乐尔工程项目管理有限公司</w:t>
            </w:r>
            <w:r>
              <w:rPr>
                <w:rFonts w:hint="default" w:ascii="Times New Roman" w:hAnsi="Times New Roman" w:eastAsia="宋体" w:cs="Times New Roman"/>
                <w:color w:val="auto"/>
                <w:w w:val="100"/>
                <w:kern w:val="2"/>
                <w:sz w:val="24"/>
                <w:szCs w:val="24"/>
                <w:highlight w:val="none"/>
                <w:lang w:val="en-US" w:eastAsia="zh-CN" w:bidi="ar-SA"/>
              </w:rPr>
              <w:t>，《</w:t>
            </w:r>
            <w:r>
              <w:rPr>
                <w:rFonts w:hint="eastAsia" w:ascii="Times New Roman" w:hAnsi="Times New Roman" w:eastAsia="宋体" w:cs="Times New Roman"/>
                <w:color w:val="auto"/>
                <w:w w:val="100"/>
                <w:kern w:val="2"/>
                <w:sz w:val="24"/>
                <w:szCs w:val="24"/>
                <w:highlight w:val="none"/>
                <w:lang w:val="en-US" w:eastAsia="zh-CN" w:bidi="ar-SA"/>
              </w:rPr>
              <w:t>河北军锋鑫诚纸制品有限公司包装制品生产项目</w:t>
            </w:r>
            <w:r>
              <w:rPr>
                <w:rFonts w:hint="default" w:ascii="Times New Roman" w:hAnsi="Times New Roman" w:eastAsia="宋体" w:cs="Times New Roman"/>
                <w:color w:val="auto"/>
                <w:w w:val="100"/>
                <w:kern w:val="2"/>
                <w:sz w:val="24"/>
                <w:szCs w:val="24"/>
                <w:highlight w:val="none"/>
                <w:lang w:val="en-US" w:eastAsia="zh-CN" w:bidi="ar-SA"/>
              </w:rPr>
              <w:t>环境影响报告</w:t>
            </w:r>
            <w:r>
              <w:rPr>
                <w:rFonts w:hint="eastAsia" w:ascii="Times New Roman" w:hAnsi="Times New Roman" w:eastAsia="宋体" w:cs="Times New Roman"/>
                <w:color w:val="auto"/>
                <w:w w:val="100"/>
                <w:kern w:val="2"/>
                <w:sz w:val="24"/>
                <w:szCs w:val="24"/>
                <w:highlight w:val="none"/>
                <w:lang w:val="en-US" w:eastAsia="zh-CN" w:bidi="ar-SA"/>
              </w:rPr>
              <w:t>表</w:t>
            </w:r>
            <w:r>
              <w:rPr>
                <w:rFonts w:hint="default" w:ascii="Times New Roman" w:hAnsi="Times New Roman" w:eastAsia="宋体" w:cs="Times New Roman"/>
                <w:color w:val="auto"/>
                <w:w w:val="100"/>
                <w:kern w:val="2"/>
                <w:sz w:val="24"/>
                <w:szCs w:val="24"/>
                <w:highlight w:val="none"/>
                <w:lang w:val="en-US" w:eastAsia="zh-CN" w:bidi="ar-SA"/>
              </w:rPr>
              <w:t>》202</w:t>
            </w:r>
            <w:r>
              <w:rPr>
                <w:rFonts w:hint="eastAsia" w:ascii="Times New Roman" w:hAnsi="Times New Roman" w:eastAsia="宋体" w:cs="Times New Roman"/>
                <w:color w:val="auto"/>
                <w:w w:val="100"/>
                <w:kern w:val="2"/>
                <w:sz w:val="24"/>
                <w:szCs w:val="24"/>
                <w:highlight w:val="none"/>
                <w:lang w:val="en-US" w:eastAsia="zh-CN" w:bidi="ar-SA"/>
              </w:rPr>
              <w:t>2</w:t>
            </w:r>
            <w:r>
              <w:rPr>
                <w:rFonts w:hint="default" w:ascii="Times New Roman" w:hAnsi="Times New Roman" w:eastAsia="宋体" w:cs="Times New Roman"/>
                <w:color w:val="auto"/>
                <w:w w:val="100"/>
                <w:kern w:val="2"/>
                <w:sz w:val="24"/>
                <w:szCs w:val="24"/>
                <w:highlight w:val="none"/>
                <w:lang w:val="en-US" w:eastAsia="zh-CN" w:bidi="ar-SA"/>
              </w:rPr>
              <w:t>年</w:t>
            </w:r>
            <w:r>
              <w:rPr>
                <w:rFonts w:hint="eastAsia" w:ascii="Times New Roman" w:hAnsi="Times New Roman" w:eastAsia="宋体" w:cs="Times New Roman"/>
                <w:color w:val="auto"/>
                <w:w w:val="100"/>
                <w:kern w:val="2"/>
                <w:sz w:val="24"/>
                <w:szCs w:val="24"/>
                <w:highlight w:val="none"/>
                <w:lang w:val="en-US" w:eastAsia="zh-CN" w:bidi="ar-SA"/>
              </w:rPr>
              <w:t>12</w:t>
            </w:r>
            <w:r>
              <w:rPr>
                <w:rFonts w:hint="default" w:ascii="Times New Roman" w:hAnsi="Times New Roman" w:eastAsia="宋体" w:cs="Times New Roman"/>
                <w:color w:val="auto"/>
                <w:w w:val="100"/>
                <w:kern w:val="2"/>
                <w:sz w:val="24"/>
                <w:szCs w:val="24"/>
                <w:highlight w:val="none"/>
                <w:lang w:val="en-US" w:eastAsia="zh-CN" w:bidi="ar-SA"/>
              </w:rPr>
              <w:t>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sz w:val="24"/>
                <w:szCs w:val="24"/>
                <w:highlight w:val="none"/>
                <w:lang w:val="en-US" w:eastAsia="zh-CN"/>
              </w:rPr>
              <w:t>6</w:t>
            </w:r>
            <w:r>
              <w:rPr>
                <w:rFonts w:hint="default" w:ascii="Times New Roman" w:hAnsi="Times New Roman" w:eastAsia="宋体" w:cs="Times New Roman"/>
                <w:color w:val="auto"/>
                <w:w w:val="100"/>
                <w:sz w:val="24"/>
                <w:szCs w:val="24"/>
                <w:highlight w:val="none"/>
              </w:rPr>
              <w:t>.</w:t>
            </w:r>
            <w:r>
              <w:rPr>
                <w:rFonts w:hint="eastAsia" w:ascii="Times New Roman" w:hAnsi="Times New Roman" w:eastAsia="宋体" w:cs="Times New Roman"/>
                <w:color w:val="auto"/>
                <w:sz w:val="24"/>
                <w:szCs w:val="24"/>
                <w:lang w:val="en-US" w:eastAsia="zh-CN"/>
              </w:rPr>
              <w:t>河间市行政审批局</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河北军锋鑫诚纸制品有限公司</w:t>
            </w:r>
            <w:r>
              <w:rPr>
                <w:rFonts w:hint="eastAsia" w:ascii="Times New Roman" w:hAnsi="Times New Roman" w:eastAsia="宋体" w:cs="Times New Roman"/>
                <w:color w:val="auto"/>
                <w:sz w:val="24"/>
                <w:szCs w:val="24"/>
                <w:lang w:eastAsia="zh-CN"/>
              </w:rPr>
              <w:t>包装制品生产项目</w:t>
            </w:r>
            <w:r>
              <w:rPr>
                <w:rFonts w:hint="default" w:ascii="Times New Roman" w:hAnsi="Times New Roman" w:eastAsia="宋体" w:cs="Times New Roman"/>
                <w:color w:val="auto"/>
                <w:sz w:val="24"/>
                <w:szCs w:val="24"/>
                <w:lang w:eastAsia="zh-CN"/>
              </w:rPr>
              <w:t>环境影响报告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审批意见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河审批（环评-表）[2023]第9号</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2023年02月03日。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7"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验收监测评价标准、标准等级</w:t>
            </w:r>
          </w:p>
        </w:tc>
        <w:tc>
          <w:tcPr>
            <w:tcW w:w="7381" w:type="dxa"/>
            <w:gridSpan w:val="6"/>
            <w:vAlign w:val="center"/>
          </w:tcPr>
          <w:p>
            <w:pPr>
              <w:spacing w:beforeLines="0" w:afterLines="0"/>
              <w:jc w:val="both"/>
              <w:rPr>
                <w:rFonts w:hint="default" w:ascii="Times New Roman" w:hAnsi="Times New Roman" w:eastAsia="宋体" w:cs="Times New Roman"/>
                <w:color w:val="auto"/>
                <w:spacing w:val="0"/>
                <w:w w:val="100"/>
                <w:kern w:val="2"/>
                <w:sz w:val="24"/>
                <w:szCs w:val="24"/>
                <w:highlight w:val="none"/>
                <w:lang w:val="en-US" w:eastAsia="zh-CN" w:bidi="ar-SA"/>
              </w:rPr>
            </w:pPr>
            <w:r>
              <w:rPr>
                <w:rFonts w:hint="default" w:ascii="Times New Roman" w:hAnsi="Times New Roman" w:eastAsia="宋体" w:cs="Times New Roman"/>
                <w:color w:val="auto"/>
                <w:spacing w:val="0"/>
                <w:w w:val="100"/>
                <w:kern w:val="2"/>
                <w:sz w:val="24"/>
                <w:szCs w:val="24"/>
                <w:highlight w:val="none"/>
                <w:lang w:val="en-US" w:eastAsia="zh-CN" w:bidi="ar-SA"/>
              </w:rPr>
              <w:t>废气：《工业企业挥发性有机物排放控制标准》（DB13/2322-2016）</w:t>
            </w:r>
            <w:r>
              <w:rPr>
                <w:rFonts w:hint="eastAsia" w:ascii="Times New Roman" w:hAnsi="Times New Roman" w:eastAsia="宋体" w:cs="Times New Roman"/>
                <w:color w:val="auto"/>
                <w:spacing w:val="0"/>
                <w:w w:val="100"/>
                <w:kern w:val="2"/>
                <w:sz w:val="24"/>
                <w:szCs w:val="24"/>
                <w:highlight w:val="none"/>
                <w:lang w:val="en-US" w:eastAsia="zh-CN" w:bidi="ar-SA"/>
              </w:rPr>
              <w:t>表1印刷工业大气污染物排放标准、</w:t>
            </w:r>
            <w:r>
              <w:rPr>
                <w:rFonts w:hint="default" w:ascii="Times New Roman" w:hAnsi="Times New Roman" w:eastAsia="宋体" w:cs="Times New Roman"/>
                <w:color w:val="auto"/>
                <w:spacing w:val="0"/>
                <w:w w:val="100"/>
                <w:kern w:val="2"/>
                <w:sz w:val="24"/>
                <w:szCs w:val="24"/>
                <w:highlight w:val="none"/>
                <w:lang w:val="en-US" w:eastAsia="zh-CN" w:bidi="ar-SA"/>
              </w:rPr>
              <w:t>表2中其他企业边界非甲烷总烃浓度限值标准</w:t>
            </w:r>
            <w:r>
              <w:rPr>
                <w:rFonts w:hint="eastAsia" w:ascii="Times New Roman" w:hAnsi="Times New Roman" w:eastAsia="宋体" w:cs="Times New Roman"/>
                <w:color w:val="auto"/>
                <w:spacing w:val="0"/>
                <w:w w:val="100"/>
                <w:kern w:val="2"/>
                <w:sz w:val="24"/>
                <w:szCs w:val="24"/>
                <w:highlight w:val="none"/>
                <w:lang w:val="en-US" w:eastAsia="zh-CN" w:bidi="ar-SA"/>
              </w:rPr>
              <w:t>、</w:t>
            </w:r>
            <w:r>
              <w:rPr>
                <w:rFonts w:hint="eastAsia" w:ascii="Times New Roman" w:hAnsi="Times New Roman" w:eastAsia="宋体" w:cs="Times New Roman"/>
                <w:color w:val="auto"/>
                <w:spacing w:val="0"/>
                <w:w w:val="100"/>
                <w:kern w:val="2"/>
                <w:sz w:val="24"/>
                <w:szCs w:val="24"/>
                <w:highlight w:val="none"/>
                <w:lang w:val="en-US" w:eastAsia="zh-CN" w:bidi="ar-SA"/>
              </w:rPr>
              <w:t>表3生产车间或生产设备边界大气污染物浓度限值</w:t>
            </w:r>
            <w:r>
              <w:rPr>
                <w:rFonts w:hint="default" w:ascii="Times New Roman" w:hAnsi="Times New Roman" w:eastAsia="宋体" w:cs="Times New Roman"/>
                <w:color w:val="auto"/>
                <w:spacing w:val="0"/>
                <w:w w:val="100"/>
                <w:kern w:val="2"/>
                <w:sz w:val="24"/>
                <w:szCs w:val="24"/>
                <w:highlight w:val="none"/>
                <w:lang w:val="en-US" w:eastAsia="zh-CN" w:bidi="ar-SA"/>
              </w:rPr>
              <w:t>；《挥发性有机物无组织排放控制标准》</w:t>
            </w:r>
            <w:r>
              <w:rPr>
                <w:rFonts w:hint="eastAsia" w:ascii="Times New Roman" w:hAnsi="Times New Roman" w:eastAsia="宋体" w:cs="Times New Roman"/>
                <w:color w:val="auto"/>
                <w:spacing w:val="0"/>
                <w:w w:val="100"/>
                <w:kern w:val="2"/>
                <w:sz w:val="24"/>
                <w:szCs w:val="24"/>
                <w:highlight w:val="none"/>
                <w:lang w:val="en-US" w:eastAsia="zh-CN" w:bidi="ar-SA"/>
              </w:rPr>
              <w:t>（</w:t>
            </w:r>
            <w:r>
              <w:rPr>
                <w:rFonts w:hint="default" w:ascii="Times New Roman" w:hAnsi="Times New Roman" w:eastAsia="宋体" w:cs="Times New Roman"/>
                <w:color w:val="auto"/>
                <w:spacing w:val="0"/>
                <w:w w:val="100"/>
                <w:kern w:val="2"/>
                <w:sz w:val="24"/>
                <w:szCs w:val="24"/>
                <w:highlight w:val="none"/>
                <w:lang w:val="en-US" w:eastAsia="zh-CN" w:bidi="ar-SA"/>
              </w:rPr>
              <w:t>GB37822-2019）表A.1厂区内VOCs无组织排放限值中特别排放限值</w:t>
            </w:r>
          </w:p>
          <w:p>
            <w:pPr>
              <w:spacing w:beforeLines="0" w:afterLines="0"/>
              <w:jc w:val="both"/>
              <w:rPr>
                <w:rFonts w:hint="default" w:ascii="Times New Roman" w:hAnsi="Times New Roman" w:eastAsia="宋体" w:cs="Times New Roman"/>
                <w:color w:val="auto"/>
                <w:spacing w:val="0"/>
                <w:w w:val="100"/>
                <w:kern w:val="2"/>
                <w:sz w:val="24"/>
                <w:szCs w:val="24"/>
                <w:highlight w:val="none"/>
                <w:lang w:val="en-US" w:eastAsia="zh-CN" w:bidi="ar-SA"/>
              </w:rPr>
            </w:pPr>
            <w:r>
              <w:rPr>
                <w:rFonts w:hint="eastAsia" w:ascii="Times New Roman" w:hAnsi="Times New Roman" w:eastAsia="宋体" w:cs="Times New Roman"/>
                <w:color w:val="auto"/>
                <w:spacing w:val="0"/>
                <w:w w:val="100"/>
                <w:kern w:val="2"/>
                <w:sz w:val="24"/>
                <w:szCs w:val="24"/>
                <w:highlight w:val="none"/>
                <w:lang w:val="en-US" w:eastAsia="zh-CN" w:bidi="ar-SA"/>
              </w:rPr>
              <w:t>废水：《污水综合排放标准》（GB8978-1996）表4中三级标准及河间市泰泽工业污水处理有限公司进水水质要求</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w w:val="100"/>
                <w:sz w:val="24"/>
                <w:szCs w:val="24"/>
              </w:rPr>
            </w:pPr>
            <w:r>
              <w:rPr>
                <w:rFonts w:hint="default" w:ascii="Times New Roman" w:hAnsi="Times New Roman" w:eastAsia="宋体" w:cs="Times New Roman"/>
                <w:color w:val="auto"/>
                <w:w w:val="100"/>
                <w:kern w:val="2"/>
                <w:sz w:val="24"/>
                <w:szCs w:val="24"/>
                <w:highlight w:val="none"/>
                <w:lang w:val="en-US" w:eastAsia="zh-CN" w:bidi="ar-SA"/>
              </w:rPr>
              <w:t>噪声：《工业企业厂界环境噪声排放标准》（GB 12348-2008）表1工业企业厂界环境噪声排放限值中</w:t>
            </w:r>
            <w:r>
              <w:rPr>
                <w:rFonts w:hint="eastAsia" w:ascii="Times New Roman" w:hAnsi="Times New Roman" w:eastAsia="宋体" w:cs="Times New Roman"/>
                <w:color w:val="auto"/>
                <w:w w:val="100"/>
                <w:kern w:val="2"/>
                <w:sz w:val="24"/>
                <w:szCs w:val="24"/>
                <w:highlight w:val="none"/>
                <w:lang w:val="en-US" w:eastAsia="zh-CN" w:bidi="ar-SA"/>
              </w:rPr>
              <w:t>3、4</w:t>
            </w:r>
            <w:r>
              <w:rPr>
                <w:rFonts w:hint="default" w:ascii="Times New Roman" w:hAnsi="Times New Roman" w:eastAsia="宋体" w:cs="Times New Roman"/>
                <w:color w:val="auto"/>
                <w:w w:val="100"/>
                <w:kern w:val="2"/>
                <w:sz w:val="24"/>
                <w:szCs w:val="24"/>
                <w:highlight w:val="none"/>
                <w:lang w:val="en-US" w:eastAsia="zh-CN" w:bidi="ar-SA"/>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w:t>
            </w:r>
          </w:p>
        </w:tc>
        <w:tc>
          <w:tcPr>
            <w:tcW w:w="7381" w:type="dxa"/>
            <w:gridSpan w:val="6"/>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10" w:firstLineChars="10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4800小时</w:t>
            </w:r>
            <w:r>
              <w:rPr>
                <w:rFonts w:hint="default" w:ascii="Times New Roman" w:hAnsi="Times New Roman" w:eastAsia="宋体" w:cs="Times New Roman"/>
                <w:b w:val="0"/>
                <w:bCs/>
                <w:spacing w:val="0"/>
                <w:sz w:val="21"/>
                <w:szCs w:val="21"/>
                <w:highlight w:val="none"/>
                <w:lang w:val="en-US" w:eastAsia="zh-CN"/>
              </w:rPr>
              <w:t>（由企业提供）</w:t>
            </w:r>
          </w:p>
        </w:tc>
      </w:tr>
    </w:tbl>
    <w:p>
      <w:pPr>
        <w:rPr>
          <w:rFonts w:hint="default" w:ascii="Times New Roman" w:hAnsi="Times New Roman" w:eastAsia="宋体" w:cs="Times New Roman"/>
          <w:b/>
          <w:sz w:val="28"/>
          <w:szCs w:val="28"/>
        </w:rPr>
      </w:pPr>
      <w:bookmarkStart w:id="7" w:name="_Toc430619012"/>
      <w:bookmarkStart w:id="8" w:name="_Toc430609234"/>
      <w:r>
        <w:rPr>
          <w:rFonts w:hint="default" w:ascii="Times New Roman" w:hAnsi="Times New Roman" w:eastAsia="宋体" w:cs="Times New Roman"/>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b/>
          <w:sz w:val="28"/>
          <w:szCs w:val="28"/>
        </w:rPr>
        <w:t xml:space="preserve">表二 </w:t>
      </w:r>
      <w:bookmarkEnd w:id="7"/>
      <w:bookmarkEnd w:id="8"/>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4304"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工程建设内容：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项目环保工程内容一览表</w:t>
            </w:r>
          </w:p>
          <w:tbl>
            <w:tblPr>
              <w:tblStyle w:val="21"/>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污染类型</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w:t>
                  </w:r>
                  <w:r>
                    <w:rPr>
                      <w:rFonts w:hint="eastAsia" w:ascii="Times New Roman" w:hAnsi="Times New Roman" w:eastAsia="宋体" w:cs="Times New Roman"/>
                      <w:color w:val="auto"/>
                      <w:sz w:val="21"/>
                      <w:szCs w:val="21"/>
                      <w:lang w:val="en-US" w:eastAsia="zh-CN"/>
                    </w:rPr>
                    <w:t>工程</w:t>
                  </w:r>
                  <w:r>
                    <w:rPr>
                      <w:rFonts w:hint="default" w:ascii="Times New Roman" w:hAnsi="Times New Roman" w:eastAsia="宋体" w:cs="Times New Roman"/>
                      <w:color w:val="auto"/>
                      <w:sz w:val="21"/>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废气</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在印刷工序上方设置集气罩并加装软帘提高废气收集效率，产生的有机废气经集气罩+软帘收集后引入1套二级活性炭吸附装置处理，处理后通过1根15m高排气筒排放（DA001）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废水</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生活污水</w:t>
                  </w:r>
                  <w:r>
                    <w:rPr>
                      <w:rFonts w:hint="default" w:ascii="Times New Roman" w:hAnsi="Times New Roman" w:eastAsia="宋体" w:cs="Times New Roman"/>
                      <w:color w:val="000000"/>
                      <w:sz w:val="21"/>
                      <w:szCs w:val="21"/>
                      <w:lang w:val="en-US" w:eastAsia="zh-CN"/>
                    </w:rPr>
                    <w:t>经</w:t>
                  </w:r>
                  <w:r>
                    <w:rPr>
                      <w:rFonts w:hint="default" w:ascii="Times New Roman" w:hAnsi="Times New Roman" w:eastAsia="宋体" w:cs="Times New Roman"/>
                      <w:color w:val="000000"/>
                      <w:sz w:val="21"/>
                      <w:szCs w:val="21"/>
                      <w:lang w:eastAsia="zh-CN"/>
                    </w:rPr>
                    <w:t>化粪池处理</w:t>
                  </w:r>
                  <w:r>
                    <w:rPr>
                      <w:rFonts w:hint="default" w:ascii="Times New Roman" w:hAnsi="Times New Roman" w:eastAsia="宋体" w:cs="Times New Roman"/>
                      <w:color w:val="000000"/>
                      <w:sz w:val="21"/>
                      <w:szCs w:val="21"/>
                      <w:lang w:val="en-US" w:eastAsia="zh-CN"/>
                    </w:rPr>
                    <w:t>达标后</w:t>
                  </w:r>
                  <w:r>
                    <w:rPr>
                      <w:rFonts w:hint="default" w:ascii="Times New Roman" w:hAnsi="Times New Roman" w:eastAsia="宋体" w:cs="Times New Roman"/>
                      <w:color w:val="000000"/>
                      <w:sz w:val="21"/>
                      <w:szCs w:val="21"/>
                      <w:lang w:eastAsia="zh-CN"/>
                    </w:rPr>
                    <w:t>由开发区污水管网排至河间市泰泽工业污水处理有限公司进一步处理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噪声</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生产设备采取基础减振、厂房隔声等降噪措施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固废</w:t>
                  </w:r>
                </w:p>
              </w:tc>
              <w:tc>
                <w:tcPr>
                  <w:tcW w:w="70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 w:val="21"/>
                      <w:szCs w:val="21"/>
                      <w:lang w:val="en-US" w:eastAsia="zh-CN"/>
                    </w:rPr>
                    <w:t>废包装袋、生产过程下脚料、不合格品收集后外售综合利用；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生活垃圾收集后由环卫部门清运处置；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废油墨桶、废擦机布、废活性炭</w:t>
                  </w:r>
                  <w:r>
                    <w:rPr>
                      <w:rFonts w:hint="default" w:ascii="Times New Roman" w:hAnsi="Times New Roman" w:eastAsia="宋体" w:cs="Times New Roman"/>
                      <w:color w:val="000000"/>
                      <w:szCs w:val="21"/>
                      <w:lang w:val="en-US" w:eastAsia="zh-CN"/>
                    </w:rPr>
                    <w:t>于危废暂存间内暂存，定期交有资质单位处置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防渗</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生产车间地面硬化，渗透系数不低于10</w:t>
                  </w:r>
                  <w:r>
                    <w:rPr>
                      <w:rFonts w:hint="default" w:ascii="Times New Roman" w:hAnsi="Times New Roman" w:eastAsia="宋体" w:cs="Times New Roman"/>
                      <w:color w:val="000000"/>
                      <w:szCs w:val="21"/>
                      <w:vertAlign w:val="superscript"/>
                    </w:rPr>
                    <w:t>-7</w:t>
                  </w:r>
                  <w:r>
                    <w:rPr>
                      <w:rFonts w:hint="default" w:ascii="Times New Roman" w:hAnsi="Times New Roman" w:eastAsia="宋体" w:cs="Times New Roman"/>
                      <w:color w:val="000000"/>
                      <w:szCs w:val="21"/>
                    </w:rPr>
                    <w:t>cm/s</w:t>
                  </w:r>
                  <w:r>
                    <w:rPr>
                      <w:rFonts w:hint="default"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lang w:val="en-US" w:eastAsia="zh-CN"/>
                    </w:rPr>
                    <w:t>油墨</w:t>
                  </w:r>
                  <w:r>
                    <w:rPr>
                      <w:rFonts w:hint="default" w:ascii="Times New Roman" w:hAnsi="Times New Roman" w:eastAsia="宋体" w:cs="Times New Roman"/>
                      <w:snapToGrid w:val="0"/>
                      <w:color w:val="000000"/>
                      <w:spacing w:val="4"/>
                      <w:kern w:val="0"/>
                      <w:sz w:val="21"/>
                      <w:szCs w:val="21"/>
                      <w:lang w:val="en-US" w:eastAsia="zh-CN"/>
                    </w:rPr>
                    <w:t>原料储存区、</w:t>
                  </w:r>
                  <w:r>
                    <w:rPr>
                      <w:rFonts w:hint="default" w:ascii="Times New Roman" w:hAnsi="Times New Roman" w:eastAsia="宋体" w:cs="Times New Roman"/>
                      <w:color w:val="000000"/>
                      <w:sz w:val="21"/>
                      <w:szCs w:val="21"/>
                      <w:lang w:val="en-US" w:eastAsia="zh-CN"/>
                    </w:rPr>
                    <w:t>化粪池、</w:t>
                  </w:r>
                  <w:r>
                    <w:rPr>
                      <w:rFonts w:hint="default" w:ascii="Times New Roman" w:hAnsi="Times New Roman" w:eastAsia="宋体" w:cs="Times New Roman"/>
                      <w:color w:val="000000"/>
                      <w:sz w:val="21"/>
                      <w:szCs w:val="21"/>
                      <w:lang w:eastAsia="zh-CN"/>
                    </w:rPr>
                    <w:t>危废暂存间</w:t>
                  </w:r>
                  <w:r>
                    <w:rPr>
                      <w:rFonts w:hint="default" w:ascii="Times New Roman" w:hAnsi="Times New Roman" w:eastAsia="宋体" w:cs="Times New Roman"/>
                      <w:color w:val="000000"/>
                      <w:szCs w:val="21"/>
                    </w:rPr>
                    <w:t>采取防渗处理，渗透系数不低于10</w:t>
                  </w:r>
                  <w:r>
                    <w:rPr>
                      <w:rFonts w:hint="default" w:ascii="Times New Roman" w:hAnsi="Times New Roman" w:eastAsia="宋体" w:cs="Times New Roman"/>
                      <w:color w:val="000000"/>
                      <w:szCs w:val="21"/>
                      <w:vertAlign w:val="superscript"/>
                    </w:rPr>
                    <w:t>-10</w:t>
                  </w:r>
                  <w:r>
                    <w:rPr>
                      <w:rFonts w:hint="default" w:ascii="Times New Roman" w:hAnsi="Times New Roman" w:eastAsia="宋体" w:cs="Times New Roman"/>
                      <w:color w:val="000000"/>
                      <w:szCs w:val="21"/>
                    </w:rPr>
                    <w:t>cm/s</w:t>
                  </w:r>
                </w:p>
              </w:tc>
            </w:tr>
          </w:tbl>
          <w:p>
            <w:pPr>
              <w:pStyle w:val="7"/>
              <w:rPr>
                <w:rFonts w:hint="default" w:ascii="Times New Roman" w:hAnsi="Times New Roman" w:eastAsia="宋体" w:cs="Times New Roman"/>
                <w:sz w:val="24"/>
                <w:szCs w:val="24"/>
                <w:lang w:eastAsia="zh-CN"/>
              </w:rPr>
            </w:pPr>
          </w:p>
          <w:p>
            <w:pPr>
              <w:pStyle w:val="7"/>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847"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原材料消耗及水平衡：</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1"/>
                <w:szCs w:val="21"/>
                <w:lang w:val="en-US" w:eastAsia="zh-CN"/>
              </w:rPr>
              <w:t>项目主要原辅材料种类和用量一览表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657"/>
              <w:gridCol w:w="1061"/>
              <w:gridCol w:w="1497"/>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65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原纸</w:t>
                  </w:r>
                </w:p>
              </w:tc>
              <w:tc>
                <w:tcPr>
                  <w:tcW w:w="106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22500</w:t>
                  </w:r>
                </w:p>
              </w:tc>
              <w:tc>
                <w:tcPr>
                  <w:tcW w:w="149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2875"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w:t>
                  </w:r>
                </w:p>
              </w:tc>
              <w:tc>
                <w:tcPr>
                  <w:tcW w:w="265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玉米淀粉</w:t>
                  </w:r>
                </w:p>
              </w:tc>
              <w:tc>
                <w:tcPr>
                  <w:tcW w:w="106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149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2875"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外购成品，吨包包装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265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水性油墨</w:t>
                  </w:r>
                </w:p>
              </w:tc>
              <w:tc>
                <w:tcPr>
                  <w:tcW w:w="106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49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2875"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外购成品</w:t>
                  </w:r>
                  <w:r>
                    <w:rPr>
                      <w:rFonts w:hint="eastAsia" w:ascii="Times New Roman" w:hAnsi="Times New Roman" w:eastAsia="宋体" w:cs="Times New Roman"/>
                      <w:color w:val="auto"/>
                      <w:sz w:val="21"/>
                      <w:szCs w:val="21"/>
                      <w:lang w:val="en-US" w:eastAsia="zh-CN"/>
                    </w:rPr>
                    <w:t>，桶装，20kg/桶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265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钉子</w:t>
                  </w:r>
                </w:p>
              </w:tc>
              <w:tc>
                <w:tcPr>
                  <w:tcW w:w="1061"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149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2875"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外购成品</w:t>
                  </w:r>
                </w:p>
              </w:tc>
            </w:tr>
          </w:tbl>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水平衡图：</w:t>
            </w:r>
          </w:p>
          <w:p>
            <w:pPr>
              <w:pStyle w:val="7"/>
              <w:ind w:left="0" w:leftChars="0" w:firstLine="0" w:firstLineChars="0"/>
              <w:rPr>
                <w:rFonts w:hint="eastAsia" w:ascii="Times New Roman" w:hAnsi="Times New Roman" w:cs="Times New Roman"/>
                <w:lang w:val="en-US" w:eastAsia="zh-CN"/>
              </w:rPr>
            </w:pPr>
            <w:r>
              <w:drawing>
                <wp:anchor distT="0" distB="0" distL="114300" distR="114300" simplePos="0" relativeHeight="251660288" behindDoc="0" locked="0" layoutInCell="1" allowOverlap="1">
                  <wp:simplePos x="0" y="0"/>
                  <wp:positionH relativeFrom="column">
                    <wp:posOffset>619760</wp:posOffset>
                  </wp:positionH>
                  <wp:positionV relativeFrom="paragraph">
                    <wp:posOffset>47625</wp:posOffset>
                  </wp:positionV>
                  <wp:extent cx="4937760" cy="1878330"/>
                  <wp:effectExtent l="0" t="0" r="15240" b="762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937760" cy="1878330"/>
                          </a:xfrm>
                          <a:prstGeom prst="rect">
                            <a:avLst/>
                          </a:prstGeom>
                          <a:noFill/>
                          <a:ln>
                            <a:noFill/>
                          </a:ln>
                        </pic:spPr>
                      </pic:pic>
                    </a:graphicData>
                  </a:graphic>
                </wp:anchor>
              </w:drawing>
            </w: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90"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sz w:val="24"/>
                <w:szCs w:val="24"/>
                <w:lang w:val="en-US" w:eastAsia="zh-CN"/>
              </w:rPr>
            </w:pPr>
            <w:r>
              <w:rPr>
                <w:rFonts w:hint="eastAsia"/>
                <w:sz w:val="24"/>
                <w:szCs w:val="24"/>
                <w:lang w:val="en-US" w:eastAsia="zh-CN"/>
              </w:rPr>
              <w:t>主要工艺流程及产物环节：</w:t>
            </w:r>
          </w:p>
          <w:p>
            <w:pPr>
              <w:pStyle w:val="7"/>
              <w:ind w:left="0" w:leftChars="0" w:firstLine="0" w:firstLineChars="0"/>
              <w:rPr>
                <w:rFonts w:hint="eastAsia"/>
                <w:lang w:val="en-US" w:eastAsia="zh-CN"/>
              </w:rPr>
            </w:pPr>
            <w:r>
              <w:rPr>
                <w:rFonts w:hint="default" w:ascii="Times New Roman" w:hAnsi="Times New Roman" w:cs="Times New Roman"/>
                <w:lang w:val="en-US" w:eastAsia="zh-CN"/>
              </w:rPr>
              <w:t>1、</w:t>
            </w:r>
            <w:r>
              <w:rPr>
                <w:rFonts w:hint="eastAsia"/>
                <w:lang w:val="en-US" w:eastAsia="zh-CN"/>
              </w:rPr>
              <w:t>生产工艺：</w:t>
            </w:r>
          </w:p>
          <w:p>
            <w:pPr>
              <w:pStyle w:val="6"/>
              <w:rPr>
                <w:rFonts w:hint="default"/>
                <w:lang w:val="en-US" w:eastAsia="zh-CN"/>
              </w:rPr>
            </w:pPr>
            <w:r>
              <w:drawing>
                <wp:anchor distT="0" distB="0" distL="114300" distR="114300" simplePos="0" relativeHeight="251661312" behindDoc="0" locked="0" layoutInCell="1" allowOverlap="1">
                  <wp:simplePos x="0" y="0"/>
                  <wp:positionH relativeFrom="column">
                    <wp:posOffset>358140</wp:posOffset>
                  </wp:positionH>
                  <wp:positionV relativeFrom="paragraph">
                    <wp:posOffset>69215</wp:posOffset>
                  </wp:positionV>
                  <wp:extent cx="4385310" cy="2582545"/>
                  <wp:effectExtent l="0" t="0" r="15240" b="825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4385310" cy="2582545"/>
                          </a:xfrm>
                          <a:prstGeom prst="rect">
                            <a:avLst/>
                          </a:prstGeom>
                          <a:noFill/>
                          <a:ln>
                            <a:noFill/>
                          </a:ln>
                        </pic:spPr>
                      </pic:pic>
                    </a:graphicData>
                  </a:graphic>
                </wp:anchor>
              </w:drawing>
            </w: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纸箱生产主要原料为原纸，首先将原纸加工成为瓦楞纸板，再将纸板进一步加工成为纸箱。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①预热：将原纸置于纸板生产线上料处，采用外购的集中供热蒸汽对原纸进行预热，芯纸经预热后经纸板生产线中的瓦楞辘组进行成楞。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粘贴：成楞后的芯板与面纸原纸进行粘贴，采用胶粘剂为玉米淀粉胶。玉米淀粉胶由玉米淀粉和水在制胶机内搅拌制备而成，玉米淀粉由吨包包装，投料时将吨包置于吨包架上，解开吨包下方放料口在料斗内进行放料，放料过程吨包袋与料斗紧闭结合形成密闭放料环境，无粉尘外溢。玉米淀粉胶使用过程无挥发性有机物产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③定型：粘贴后的纸板经定型得到瓦楞纸板。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④裁切：将生产得到的瓦楞纸板运至全自动纸箱印刷开槽机进行纸箱的生产，首先根据客户需要的纸箱尺寸对纸板进行裁切。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本工序主要污染物为裁切下脚料、设备噪声。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⑤印刷：裁切后的纸板进入印刷工段，在纸板表面印刷出客户所需要的图案和文字，印刷工序使用原料为水性油墨。印刷版更换时采用抹布对设备残留油墨进行擦拭，无需用水清洗。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本工序主要污染物为印刷工序有机废气，设备噪声，废油墨桶、废擦机布。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⑥开槽：印刷后的纸板进行开槽处理，在需要的位置切出槽口，使纸板可以立体成型为纸箱。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本工序主要污染物为开槽下脚料、设备噪声。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⑦压线：在瓦楞纸板上压出折痕，以便纸箱按照预定位置进行折弯成型，控制纸箱成型后效果和形状。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⑧分边：压线后进行分边处理。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本工序主要污染物为分边下脚料、设备噪声。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⑨切角：按照设计好的图形进行裁切，去除多余的部分，将纸箱的直角直边进行改造，方便成型。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本工序主要污染物为切角下脚料、设备噪声。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⑩一次性成型处理：将上述处理后的纸箱进行一次性成型处理，得到最终纸箱坯。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⑪装订：将纸箱使用钉箱机进行装订即可得到成品。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本工序主要污染物为设备噪声。</w:t>
            </w: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default"/>
                <w:lang w:val="en-US" w:eastAsia="zh-CN"/>
              </w:rPr>
            </w:pPr>
          </w:p>
          <w:p>
            <w:pPr>
              <w:pStyle w:val="6"/>
              <w:spacing w:line="240" w:lineRule="auto"/>
              <w:rPr>
                <w:rFonts w:hint="default"/>
                <w:lang w:val="en-US" w:eastAsia="zh-CN"/>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sz w:val="28"/>
          <w:szCs w:val="28"/>
          <w:highlight w:val="none"/>
        </w:rPr>
      </w:pPr>
      <w:r>
        <w:rPr>
          <w:rFonts w:hint="default" w:ascii="Times New Roman" w:hAnsi="Times New Roman" w:eastAsia="宋体" w:cs="Times New Roman"/>
          <w:b/>
          <w:color w:val="auto"/>
          <w:sz w:val="28"/>
          <w:szCs w:val="28"/>
          <w:highlight w:val="none"/>
        </w:rPr>
        <w:t xml:space="preserve">表三  </w:t>
      </w:r>
      <w:bookmarkEnd w:id="0"/>
      <w:bookmarkEnd w:id="1"/>
    </w:p>
    <w:tbl>
      <w:tblPr>
        <w:tblStyle w:val="21"/>
        <w:tblpPr w:leftFromText="181" w:rightFromText="181" w:vertAnchor="text" w:tblpX="1" w:tblpY="58"/>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7880" w:hRule="atLeast"/>
        </w:trPr>
        <w:tc>
          <w:tcPr>
            <w:tcW w:w="9580"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val="0"/>
                <w:bCs/>
                <w:sz w:val="24"/>
                <w:szCs w:val="24"/>
                <w:highlight w:val="none"/>
              </w:rPr>
            </w:pPr>
            <w:bookmarkStart w:id="9" w:name="_Toc360548369"/>
            <w:r>
              <w:rPr>
                <w:rFonts w:hint="default" w:ascii="Times New Roman" w:hAnsi="Times New Roman" w:eastAsia="宋体" w:cs="Times New Roman"/>
                <w:b w:val="0"/>
                <w:bCs/>
                <w:color w:val="auto"/>
                <w:sz w:val="24"/>
                <w:szCs w:val="24"/>
                <w:highlight w:val="none"/>
              </w:rPr>
              <w:t>主要污染源、污染物处理和排</w:t>
            </w:r>
            <w:r>
              <w:rPr>
                <w:rFonts w:hint="default" w:ascii="Times New Roman" w:hAnsi="Times New Roman" w:eastAsia="宋体" w:cs="Times New Roman"/>
                <w:b w:val="0"/>
                <w:bCs/>
                <w:sz w:val="24"/>
                <w:szCs w:val="24"/>
                <w:highlight w:val="none"/>
              </w:rPr>
              <w:t>放流程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bookmarkEnd w:id="9"/>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项目印刷工序产生有机废气，以非甲烷总烃计，废气经集气罩收集后经二级活性炭</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吸附装置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处理后通过15m高排气筒排放</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bookmarkStart w:id="10" w:name="_Toc360548370"/>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废水</w:t>
            </w:r>
            <w:bookmarkEnd w:id="10"/>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1" w:name="_Toc360548371"/>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项目废水主要为生活污水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，生活污水经化粪池处理达标后由开发区污水管网排至河间市泰泽工业污水处理有限公司进一步处理</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噪声</w:t>
            </w:r>
            <w:bookmarkEnd w:id="11"/>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项目主要噪声源为纸板生产线、全自动纸箱印刷开槽机、制胶机、订箱机等生产设备，本项目主要优先选取低噪声设备，并采取厂房隔声、基础减振等隔声降噪措施</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，再经过距离衰减后</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排入周边环境。</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360548372"/>
            <w:r>
              <w:rPr>
                <w:rFonts w:hint="default" w:ascii="Times New Roman" w:hAnsi="Times New Roman" w:eastAsia="宋体" w:cs="Times New Roman"/>
                <w:color w:val="000000" w:themeColor="text1"/>
                <w:sz w:val="24"/>
                <w:szCs w:val="24"/>
                <w14:textFill>
                  <w14:solidFill>
                    <w14:schemeClr w14:val="tx1"/>
                  </w14:solidFill>
                </w14:textFill>
              </w:rPr>
              <w:t>4</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固废</w:t>
            </w:r>
            <w:bookmarkEnd w:id="12"/>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项目产生的固体废物包括废包装袋、生产过程下脚料、不合格品、废油墨桶、废擦机布、废气治理设施产生的废活性炭、职工生活垃圾</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8"/>
                <w:szCs w:val="28"/>
                <w:lang w:eastAsia="zh-CN"/>
              </w:rPr>
            </w:pP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项目废包装袋、项目裁切、开槽、分边、切角工序会产生废纸下脚料、不合格品分类收集后外售综合利用；废油墨桶、废擦机布、废气治理设施产生的废活性炭分别收集后暂存于厂区危废间，定期交由有资质单位处理；职工</w:t>
            </w: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生活垃圾</w:t>
            </w: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厂区内设置垃圾桶收集，交于环卫部门清运处置</w:t>
            </w: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val="0"/>
          <w:bCs/>
          <w:color w:val="auto"/>
          <w:sz w:val="28"/>
          <w:szCs w:val="28"/>
          <w:highlight w:val="none"/>
          <w:lang w:val="en-US" w:eastAsia="zh-CN"/>
        </w:rPr>
      </w:pPr>
      <w:bookmarkStart w:id="13" w:name="_Toc430609236"/>
      <w:bookmarkStart w:id="14" w:name="_Toc430619014"/>
      <w:r>
        <w:rPr>
          <w:rFonts w:hint="eastAsia" w:ascii="Times New Roman" w:hAnsi="Times New Roman" w:eastAsia="宋体" w:cs="Times New Roman"/>
          <w:b/>
          <w:bCs w:val="0"/>
          <w:color w:val="auto"/>
          <w:sz w:val="28"/>
          <w:szCs w:val="28"/>
          <w:highlight w:val="none"/>
          <w:lang w:val="en-US" w:eastAsia="zh-CN"/>
        </w:rPr>
        <w:t>表四</w:t>
      </w:r>
    </w:p>
    <w:tbl>
      <w:tblPr>
        <w:tblStyle w:val="21"/>
        <w:tblpPr w:leftFromText="181" w:rightFromText="181" w:vertAnchor="text" w:tblpX="1" w:tblpY="1"/>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989" w:hRule="atLeast"/>
        </w:trPr>
        <w:tc>
          <w:tcPr>
            <w:tcW w:w="958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eastAsia="zh-CN"/>
              </w:rPr>
              <w:t>本项目的建设符合国家和地方产业政策要求；项目选址符合当地规划；平面布置合理；项目在满足环评提出各项要求和污染防治措施的基础上，污染物能够做到达标排放，措施可行；项目的建设对环境影响较小。从环境保护的角度认为，本项目建设是可行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sz w:val="28"/>
                <w:szCs w:val="28"/>
                <w:lang w:eastAsia="zh-CN"/>
              </w:rPr>
            </w:pPr>
            <w:r>
              <w:rPr>
                <w:rFonts w:hint="eastAsia" w:ascii="Times New Roman" w:hAnsi="Times New Roman" w:eastAsia="宋体" w:cs="Times New Roman"/>
                <w:b w:val="0"/>
                <w:bCs/>
                <w:sz w:val="24"/>
                <w:szCs w:val="24"/>
                <w:highlight w:val="none"/>
                <w:lang w:val="en-US" w:eastAsia="zh-CN"/>
              </w:rPr>
              <w:t>审批决定内容见附件</w:t>
            </w:r>
          </w:p>
        </w:tc>
      </w:tr>
    </w:tbl>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24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w:t>
      </w:r>
      <w:r>
        <w:rPr>
          <w:rFonts w:hint="eastAsia" w:ascii="Times New Roman" w:hAnsi="Times New Roman" w:eastAsia="宋体" w:cs="Times New Roman"/>
          <w:b/>
          <w:sz w:val="28"/>
          <w:szCs w:val="28"/>
          <w:lang w:val="en-US" w:eastAsia="zh-CN"/>
        </w:rPr>
        <w:t>五</w:t>
      </w:r>
      <w:r>
        <w:rPr>
          <w:rFonts w:hint="default" w:ascii="Times New Roman" w:hAnsi="Times New Roman" w:eastAsia="宋体" w:cs="Times New Roman"/>
          <w:b/>
          <w:sz w:val="28"/>
          <w:szCs w:val="28"/>
        </w:rPr>
        <w:t xml:space="preserve">  </w:t>
      </w:r>
      <w:bookmarkEnd w:id="13"/>
      <w:bookmarkEnd w:id="14"/>
      <w:r>
        <w:rPr>
          <w:rFonts w:hint="default" w:ascii="Times New Roman" w:hAnsi="Times New Roman" w:eastAsia="宋体" w:cs="Times New Roman"/>
          <w:b/>
          <w:sz w:val="28"/>
          <w:szCs w:val="28"/>
        </w:rPr>
        <w:t>验收监测结论与建议</w:t>
      </w:r>
    </w:p>
    <w:tbl>
      <w:tblPr>
        <w:tblStyle w:val="2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13597" w:hRule="atLeast"/>
        </w:trPr>
        <w:tc>
          <w:tcPr>
            <w:tcW w:w="9516" w:type="dxa"/>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1、验收监测结果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1）有组织废气监测结果</w:t>
            </w:r>
          </w:p>
          <w:tbl>
            <w:tblPr>
              <w:tblStyle w:val="21"/>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
              <w:gridCol w:w="1734"/>
              <w:gridCol w:w="2"/>
              <w:gridCol w:w="671"/>
              <w:gridCol w:w="3"/>
              <w:gridCol w:w="754"/>
              <w:gridCol w:w="763"/>
              <w:gridCol w:w="765"/>
              <w:gridCol w:w="763"/>
              <w:gridCol w:w="1510"/>
              <w:gridCol w:w="642"/>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点位</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eastAsia="zh-CN"/>
                    </w:rPr>
                  </w:pPr>
                  <w:r>
                    <w:rPr>
                      <w:rFonts w:hint="default" w:ascii="Times New Roman" w:hAnsi="Times New Roman" w:eastAsia="宋体" w:cs="Times New Roman"/>
                      <w:b/>
                      <w:bCs w:val="0"/>
                      <w:color w:val="000000"/>
                      <w:kern w:val="0"/>
                      <w:sz w:val="21"/>
                      <w:szCs w:val="21"/>
                      <w:lang w:eastAsia="zh-CN"/>
                    </w:rPr>
                    <w:t>及</w:t>
                  </w:r>
                  <w:r>
                    <w:rPr>
                      <w:rFonts w:hint="default" w:ascii="Times New Roman" w:hAnsi="Times New Roman" w:eastAsia="宋体" w:cs="Times New Roman"/>
                      <w:b/>
                      <w:bCs w:val="0"/>
                      <w:color w:val="000000"/>
                      <w:kern w:val="0"/>
                      <w:sz w:val="21"/>
                      <w:szCs w:val="21"/>
                      <w:lang w:val="en-US" w:eastAsia="zh-CN"/>
                    </w:rPr>
                    <w:t>日期</w:t>
                  </w:r>
                </w:p>
              </w:tc>
              <w:tc>
                <w:tcPr>
                  <w:tcW w:w="1735"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spacing w:val="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spacing w:val="0"/>
                      <w:kern w:val="0"/>
                      <w:sz w:val="21"/>
                      <w:szCs w:val="21"/>
                    </w:rPr>
                    <w:t>项目</w:t>
                  </w:r>
                </w:p>
              </w:tc>
              <w:tc>
                <w:tcPr>
                  <w:tcW w:w="673"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单位</w:t>
                  </w:r>
                </w:p>
              </w:tc>
              <w:tc>
                <w:tcPr>
                  <w:tcW w:w="2285" w:type="dxa"/>
                  <w:gridSpan w:val="4"/>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结果</w:t>
                  </w:r>
                </w:p>
              </w:tc>
              <w:tc>
                <w:tcPr>
                  <w:tcW w:w="763"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bCs w:val="0"/>
                      <w:color w:val="000000"/>
                      <w:kern w:val="0"/>
                      <w:sz w:val="21"/>
                      <w:szCs w:val="21"/>
                      <w:lang w:val="en-US" w:eastAsia="zh-CN"/>
                    </w:rPr>
                    <w:t>最大值</w:t>
                  </w:r>
                </w:p>
              </w:tc>
              <w:tc>
                <w:tcPr>
                  <w:tcW w:w="1510" w:type="dxa"/>
                  <w:vMerge w:val="restart"/>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snapToGrid w:val="0"/>
                    <w:spacing w:line="200" w:lineRule="exact"/>
                    <w:jc w:val="center"/>
                    <w:textAlignment w:val="center"/>
                    <w:rPr>
                      <w:rFonts w:hint="default" w:ascii="Times New Roman" w:hAnsi="Times New Roman" w:eastAsia="宋体" w:cs="Times New Roman"/>
                      <w:b/>
                      <w:color w:val="000000"/>
                      <w:kern w:val="0"/>
                      <w:sz w:val="21"/>
                      <w:szCs w:val="21"/>
                      <w:lang w:val="en-US" w:eastAsia="zh-CN"/>
                    </w:rPr>
                  </w:pPr>
                  <w:r>
                    <w:rPr>
                      <w:rFonts w:hint="default" w:ascii="Times New Roman" w:hAnsi="Times New Roman" w:eastAsia="宋体" w:cs="Times New Roman"/>
                      <w:b/>
                      <w:color w:val="000000"/>
                      <w:kern w:val="0"/>
                      <w:sz w:val="21"/>
                      <w:szCs w:val="21"/>
                    </w:rPr>
                    <w:t>执行标准</w:t>
                  </w:r>
                  <w:r>
                    <w:rPr>
                      <w:rFonts w:hint="default" w:ascii="Times New Roman" w:hAnsi="Times New Roman" w:eastAsia="宋体" w:cs="Times New Roman"/>
                      <w:b/>
                      <w:color w:val="000000"/>
                      <w:kern w:val="0"/>
                      <w:sz w:val="21"/>
                      <w:szCs w:val="21"/>
                      <w:lang w:val="en-US" w:eastAsia="zh-CN"/>
                    </w:rPr>
                    <w:t>号</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color w:val="000000"/>
                      <w:kern w:val="0"/>
                      <w:sz w:val="21"/>
                      <w:szCs w:val="21"/>
                    </w:rPr>
                    <w:t>及标准值</w:t>
                  </w:r>
                </w:p>
              </w:tc>
              <w:tc>
                <w:tcPr>
                  <w:tcW w:w="64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达标</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73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rPr>
                  </w:pPr>
                </w:p>
              </w:tc>
              <w:tc>
                <w:tcPr>
                  <w:tcW w:w="67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757"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1</w:t>
                  </w:r>
                </w:p>
              </w:tc>
              <w:tc>
                <w:tcPr>
                  <w:tcW w:w="763"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2</w:t>
                  </w:r>
                </w:p>
              </w:tc>
              <w:tc>
                <w:tcPr>
                  <w:tcW w:w="76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3</w:t>
                  </w:r>
                </w:p>
              </w:tc>
              <w:tc>
                <w:tcPr>
                  <w:tcW w:w="763"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510" w:type="dxa"/>
                  <w:vMerge w:val="continue"/>
                  <w:tcBorders>
                    <w:left w:val="single" w:color="auto" w:sz="4" w:space="0"/>
                    <w:right w:val="nil"/>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4"/>
                      <w:sz w:val="21"/>
                      <w:szCs w:val="21"/>
                    </w:rPr>
                  </w:pPr>
                </w:p>
              </w:tc>
              <w:tc>
                <w:tcPr>
                  <w:tcW w:w="649"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印刷工序废气排气筒进口</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2023.07.03</w:t>
                  </w: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标干流量</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m3/h</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3194</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3211</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3228</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max(D3:F3)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3228</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tcBorders>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w:t>
                  </w:r>
                  <w:r>
                    <w:rPr>
                      <w:rFonts w:hint="eastAsia" w:ascii="Times New Roman" w:hAnsi="Times New Roman" w:eastAsia="宋体" w:cs="Times New Roman"/>
                      <w:b w:val="0"/>
                      <w:bCs/>
                      <w:spacing w:val="-11"/>
                      <w:sz w:val="21"/>
                      <w:szCs w:val="21"/>
                      <w:lang w:val="zh-CN" w:eastAsia="zh-CN"/>
                    </w:rPr>
                    <w:t>浓度</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mg/m3</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6.49</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6.27</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6.63</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max(D4:F4)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6.63</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印刷工序废气排气筒出口2023.07.03</w:t>
                  </w:r>
                </w:p>
              </w:tc>
              <w:tc>
                <w:tcPr>
                  <w:tcW w:w="1735" w:type="dxa"/>
                  <w:gridSpan w:val="2"/>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标干流量</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m3/h</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3421</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3395</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3473</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max(D5:F5)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3473</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w:t>
                  </w:r>
                  <w:r>
                    <w:rPr>
                      <w:rFonts w:hint="eastAsia" w:ascii="Times New Roman" w:hAnsi="Times New Roman" w:eastAsia="宋体" w:cs="Times New Roman"/>
                      <w:b w:val="0"/>
                      <w:bCs/>
                      <w:spacing w:val="-11"/>
                      <w:sz w:val="21"/>
                      <w:szCs w:val="21"/>
                      <w:lang w:val="zh-CN" w:eastAsia="zh-CN"/>
                    </w:rPr>
                    <w:t>浓度</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mg/m3</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3.51</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3.14</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3.36</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max(D6:F6)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3.51</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DB13/2322-201</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50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非甲烷总烃去除效率</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w:t>
                  </w:r>
                </w:p>
              </w:tc>
              <w:tc>
                <w:tcPr>
                  <w:tcW w:w="3048" w:type="dxa"/>
                  <w:gridSpan w:val="5"/>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44.9</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DB13/2322-201</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70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印刷工序废气排气筒进口</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2023.07.04</w:t>
                  </w: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标干流量</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m3/h</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3222</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3204</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3213</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11"/>
                      <w:sz w:val="21"/>
                      <w:szCs w:val="21"/>
                      <w:lang w:val="en-US" w:eastAsia="zh-CN"/>
                    </w:rPr>
                    <w:fldChar w:fldCharType="begin"/>
                  </w:r>
                  <w:r>
                    <w:rPr>
                      <w:rFonts w:hint="default" w:ascii="Times New Roman" w:hAnsi="Times New Roman" w:eastAsia="宋体" w:cs="Times New Roman"/>
                      <w:b w:val="0"/>
                      <w:bCs/>
                      <w:spacing w:val="-11"/>
                      <w:sz w:val="21"/>
                      <w:szCs w:val="21"/>
                      <w:lang w:val="en-US" w:eastAsia="zh-CN"/>
                    </w:rPr>
                    <w:instrText xml:space="preserve"> = max(D8:F8) \* MERGEFORMAT </w:instrText>
                  </w:r>
                  <w:r>
                    <w:rPr>
                      <w:rFonts w:hint="default" w:ascii="Times New Roman" w:hAnsi="Times New Roman" w:eastAsia="宋体" w:cs="Times New Roman"/>
                      <w:b w:val="0"/>
                      <w:bCs/>
                      <w:spacing w:val="-11"/>
                      <w:sz w:val="21"/>
                      <w:szCs w:val="21"/>
                      <w:lang w:val="en-US" w:eastAsia="zh-CN"/>
                    </w:rPr>
                    <w:fldChar w:fldCharType="separate"/>
                  </w:r>
                  <w:r>
                    <w:rPr>
                      <w:rFonts w:hint="default" w:ascii="Times New Roman" w:hAnsi="Times New Roman" w:eastAsia="宋体" w:cs="Times New Roman"/>
                      <w:b w:val="0"/>
                      <w:bCs/>
                      <w:spacing w:val="-11"/>
                      <w:sz w:val="21"/>
                      <w:szCs w:val="21"/>
                      <w:lang w:val="en-US" w:eastAsia="zh-CN"/>
                    </w:rPr>
                    <w:t>3222</w:t>
                  </w:r>
                  <w:r>
                    <w:rPr>
                      <w:rFonts w:hint="default"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tcBorders>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w:t>
                  </w:r>
                  <w:r>
                    <w:rPr>
                      <w:rFonts w:hint="eastAsia" w:ascii="Times New Roman" w:hAnsi="Times New Roman" w:eastAsia="宋体" w:cs="Times New Roman"/>
                      <w:b w:val="0"/>
                      <w:bCs/>
                      <w:spacing w:val="-11"/>
                      <w:sz w:val="21"/>
                      <w:szCs w:val="21"/>
                      <w:lang w:val="zh-CN" w:eastAsia="zh-CN"/>
                    </w:rPr>
                    <w:t>浓度</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mg/m3</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6.19</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6.56</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6.37</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max(D9:F9)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6.56</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印刷工序废气排气筒出口2023.07.04</w:t>
                  </w:r>
                </w:p>
              </w:tc>
              <w:tc>
                <w:tcPr>
                  <w:tcW w:w="1735" w:type="dxa"/>
                  <w:gridSpan w:val="2"/>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标干流量</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m3/h</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3371</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3397</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3449</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fldChar w:fldCharType="begin"/>
                  </w:r>
                  <w:r>
                    <w:rPr>
                      <w:rFonts w:hint="eastAsia" w:ascii="Times New Roman" w:hAnsi="Times New Roman" w:eastAsia="宋体" w:cs="Times New Roman"/>
                      <w:b w:val="0"/>
                      <w:bCs/>
                      <w:spacing w:val="-11"/>
                      <w:sz w:val="21"/>
                      <w:szCs w:val="21"/>
                      <w:lang w:val="en-US" w:eastAsia="zh-CN"/>
                    </w:rPr>
                    <w:instrText xml:space="preserve"> = max(D10:F10) \* MERGEFORMAT </w:instrText>
                  </w:r>
                  <w:r>
                    <w:rPr>
                      <w:rFonts w:hint="eastAsia" w:ascii="Times New Roman" w:hAnsi="Times New Roman" w:eastAsia="宋体" w:cs="Times New Roman"/>
                      <w:b w:val="0"/>
                      <w:bCs/>
                      <w:spacing w:val="-11"/>
                      <w:sz w:val="21"/>
                      <w:szCs w:val="21"/>
                      <w:lang w:val="en-US" w:eastAsia="zh-CN"/>
                    </w:rPr>
                    <w:fldChar w:fldCharType="separate"/>
                  </w:r>
                  <w:r>
                    <w:rPr>
                      <w:rFonts w:hint="eastAsia" w:ascii="Times New Roman" w:hAnsi="Times New Roman" w:eastAsia="宋体" w:cs="Times New Roman"/>
                      <w:b w:val="0"/>
                      <w:bCs/>
                      <w:spacing w:val="-11"/>
                      <w:sz w:val="21"/>
                      <w:szCs w:val="21"/>
                      <w:lang w:val="en-US" w:eastAsia="zh-CN"/>
                    </w:rPr>
                    <w:t>3449</w:t>
                  </w:r>
                  <w:r>
                    <w:rPr>
                      <w:rFonts w:hint="eastAsia"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w:t>
                  </w:r>
                  <w:r>
                    <w:rPr>
                      <w:rFonts w:hint="eastAsia" w:ascii="Times New Roman" w:hAnsi="Times New Roman" w:eastAsia="宋体" w:cs="Times New Roman"/>
                      <w:b w:val="0"/>
                      <w:bCs/>
                      <w:spacing w:val="-11"/>
                      <w:sz w:val="21"/>
                      <w:szCs w:val="21"/>
                      <w:lang w:val="zh-CN" w:eastAsia="zh-CN"/>
                    </w:rPr>
                    <w:t>浓度</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mg/m3</w:t>
                  </w:r>
                </w:p>
              </w:tc>
              <w:tc>
                <w:tcPr>
                  <w:tcW w:w="757"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3.26</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3.43</w:t>
                  </w:r>
                </w:p>
              </w:tc>
              <w:tc>
                <w:tcPr>
                  <w:tcW w:w="765"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3.07</w:t>
                  </w:r>
                </w:p>
              </w:tc>
              <w:tc>
                <w:tcPr>
                  <w:tcW w:w="76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11"/>
                      <w:sz w:val="21"/>
                      <w:szCs w:val="21"/>
                      <w:lang w:val="en-US" w:eastAsia="zh-CN"/>
                    </w:rPr>
                    <w:fldChar w:fldCharType="begin"/>
                  </w:r>
                  <w:r>
                    <w:rPr>
                      <w:rFonts w:hint="default" w:ascii="Times New Roman" w:hAnsi="Times New Roman" w:eastAsia="宋体" w:cs="Times New Roman"/>
                      <w:b w:val="0"/>
                      <w:bCs/>
                      <w:spacing w:val="-11"/>
                      <w:sz w:val="21"/>
                      <w:szCs w:val="21"/>
                      <w:lang w:val="en-US" w:eastAsia="zh-CN"/>
                    </w:rPr>
                    <w:instrText xml:space="preserve"> = max(D11:F11) \* MERGEFORMAT </w:instrText>
                  </w:r>
                  <w:r>
                    <w:rPr>
                      <w:rFonts w:hint="default" w:ascii="Times New Roman" w:hAnsi="Times New Roman" w:eastAsia="宋体" w:cs="Times New Roman"/>
                      <w:b w:val="0"/>
                      <w:bCs/>
                      <w:spacing w:val="-11"/>
                      <w:sz w:val="21"/>
                      <w:szCs w:val="21"/>
                      <w:lang w:val="en-US" w:eastAsia="zh-CN"/>
                    </w:rPr>
                    <w:fldChar w:fldCharType="separate"/>
                  </w:r>
                  <w:r>
                    <w:rPr>
                      <w:rFonts w:hint="default" w:ascii="Times New Roman" w:hAnsi="Times New Roman" w:eastAsia="宋体" w:cs="Times New Roman"/>
                      <w:b w:val="0"/>
                      <w:bCs/>
                      <w:spacing w:val="-11"/>
                      <w:sz w:val="21"/>
                      <w:szCs w:val="21"/>
                      <w:lang w:val="en-US" w:eastAsia="zh-CN"/>
                    </w:rPr>
                    <w:t>3.43</w:t>
                  </w:r>
                  <w:r>
                    <w:rPr>
                      <w:rFonts w:hint="default" w:ascii="Times New Roman" w:hAnsi="Times New Roman" w:eastAsia="宋体" w:cs="Times New Roman"/>
                      <w:b w:val="0"/>
                      <w:bCs/>
                      <w:spacing w:val="-11"/>
                      <w:sz w:val="21"/>
                      <w:szCs w:val="21"/>
                      <w:lang w:val="en-US" w:eastAsia="zh-CN"/>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DB13/2322-201</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50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非甲烷总烃去除效率</w:t>
                  </w:r>
                </w:p>
              </w:tc>
              <w:tc>
                <w:tcPr>
                  <w:tcW w:w="673"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w:t>
                  </w:r>
                </w:p>
              </w:tc>
              <w:tc>
                <w:tcPr>
                  <w:tcW w:w="3048" w:type="dxa"/>
                  <w:gridSpan w:val="5"/>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45.9</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DB13/2322-201</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70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737" w:hRule="atLeast"/>
                <w:jc w:val="center"/>
              </w:trPr>
              <w:tc>
                <w:tcPr>
                  <w:tcW w:w="1523" w:type="dxa"/>
                  <w:gridSpan w:val="2"/>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r>
                    <w:rPr>
                      <w:rFonts w:hint="default" w:ascii="Times New Roman" w:hAnsi="Times New Roman" w:eastAsia="宋体" w:cs="Times New Roman"/>
                      <w:b w:val="0"/>
                      <w:bCs/>
                      <w:spacing w:val="-10"/>
                      <w:sz w:val="21"/>
                      <w:szCs w:val="21"/>
                      <w:lang w:val="en-US" w:eastAsia="zh-CN"/>
                    </w:rPr>
                    <w:t>主要污染物</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lang w:val="en-US" w:eastAsia="zh-CN"/>
                    </w:rPr>
                    <w:t>年排放量</w:t>
                  </w: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z w:val="21"/>
                      <w:szCs w:val="21"/>
                      <w:lang w:eastAsia="zh-CN"/>
                    </w:rPr>
                    <w:t>排气量</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b w:val="0"/>
                      <w:bCs/>
                      <w:spacing w:val="-10"/>
                      <w:sz w:val="21"/>
                      <w:szCs w:val="21"/>
                      <w:lang w:val="en-US" w:eastAsia="zh-CN"/>
                    </w:rPr>
                    <w:t>万m</w:t>
                  </w:r>
                  <w:r>
                    <w:rPr>
                      <w:rFonts w:hint="default" w:ascii="Times New Roman" w:hAnsi="Times New Roman" w:eastAsia="宋体" w:cs="Times New Roman"/>
                      <w:b w:val="0"/>
                      <w:bCs/>
                      <w:spacing w:val="-10"/>
                      <w:sz w:val="21"/>
                      <w:szCs w:val="21"/>
                      <w:vertAlign w:val="superscript"/>
                      <w:lang w:val="en-US" w:eastAsia="zh-CN"/>
                    </w:rPr>
                    <w:t>3</w:t>
                  </w:r>
                  <w:r>
                    <w:rPr>
                      <w:rFonts w:hint="default" w:ascii="Times New Roman" w:hAnsi="Times New Roman" w:eastAsia="宋体" w:cs="Times New Roman"/>
                      <w:b w:val="0"/>
                      <w:bCs/>
                      <w:spacing w:val="-10"/>
                      <w:sz w:val="21"/>
                      <w:szCs w:val="21"/>
                      <w:lang w:val="en-US" w:eastAsia="zh-CN"/>
                    </w:rPr>
                    <w:t>/a</w:t>
                  </w:r>
                </w:p>
              </w:tc>
              <w:tc>
                <w:tcPr>
                  <w:tcW w:w="5197" w:type="dxa"/>
                  <w:gridSpan w:val="6"/>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1641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737" w:hRule="atLeast"/>
                <w:jc w:val="center"/>
              </w:trPr>
              <w:tc>
                <w:tcPr>
                  <w:tcW w:w="1523"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非甲烷总烃</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t/a</w:t>
                  </w:r>
                </w:p>
              </w:tc>
              <w:tc>
                <w:tcPr>
                  <w:tcW w:w="5197" w:type="dxa"/>
                  <w:gridSpan w:val="6"/>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737" w:hRule="atLeast"/>
                <w:jc w:val="center"/>
              </w:trPr>
              <w:tc>
                <w:tcPr>
                  <w:tcW w:w="1523" w:type="dxa"/>
                  <w:gridSpan w:val="2"/>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highlight w:val="none"/>
                      <w:lang w:val="en-US" w:eastAsia="zh-CN"/>
                    </w:rPr>
                    <w:t>备注</w:t>
                  </w:r>
                </w:p>
              </w:tc>
              <w:tc>
                <w:tcPr>
                  <w:tcW w:w="7607" w:type="dxa"/>
                  <w:gridSpan w:val="1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both"/>
                    <w:textAlignment w:val="auto"/>
                    <w:outlineLvl w:val="9"/>
                    <w:rPr>
                      <w:rFonts w:hint="default" w:ascii="Times New Roman" w:hAnsi="Times New Roman" w:eastAsia="宋体" w:cs="Times New Roman"/>
                      <w:b w:val="0"/>
                      <w:bCs/>
                      <w:spacing w:val="-14"/>
                      <w:sz w:val="21"/>
                      <w:szCs w:val="21"/>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4800小时</w:t>
                  </w:r>
                  <w:r>
                    <w:rPr>
                      <w:rFonts w:hint="default" w:ascii="Times New Roman" w:hAnsi="Times New Roman" w:eastAsia="宋体" w:cs="Times New Roman"/>
                      <w:b w:val="0"/>
                      <w:bCs/>
                      <w:spacing w:val="0"/>
                      <w:sz w:val="21"/>
                      <w:szCs w:val="21"/>
                      <w:highlight w:val="none"/>
                      <w:lang w:val="en-US" w:eastAsia="zh-CN"/>
                    </w:rPr>
                    <w:t>（由企业提供）。</w:t>
                  </w:r>
                  <w:r>
                    <w:rPr>
                      <w:rFonts w:hint="eastAsia" w:ascii="Times New Roman" w:hAnsi="Times New Roman" w:eastAsia="宋体" w:cs="Times New Roman"/>
                      <w:b w:val="0"/>
                      <w:bCs/>
                      <w:spacing w:val="0"/>
                      <w:sz w:val="21"/>
                      <w:szCs w:val="21"/>
                      <w:highlight w:val="none"/>
                      <w:lang w:val="en-US" w:eastAsia="zh-CN"/>
                    </w:rPr>
                    <w:t>加测车间废气</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2）无组织废气监测结果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cs="Times New Roman"/>
                <w:b/>
                <w:spacing w:val="0"/>
                <w:sz w:val="28"/>
                <w:szCs w:val="28"/>
                <w:lang w:eastAsia="zh-CN"/>
              </w:rPr>
              <w:pict>
                <v:shape id="Object 58" o:spid="_x0000_s1042" o:spt="75" type="#_x0000_t75" style="position:absolute;left:0pt;margin-left:-13.95pt;margin-top:17.5pt;height:217.2pt;width:249.45pt;z-index:-251652096;mso-width-relative:page;mso-height-relative:page;" o:ole="t" filled="f" o:preferrelative="t" stroked="f" coordsize="21600,21600">
                  <v:path/>
                  <v:fill on="f" focussize="0,0"/>
                  <v:stroke on="f"/>
                  <v:imagedata r:id="rId12" croptop="3689f" cropbottom="1316f" o:title=""/>
                  <o:lock v:ext="edit" aspectratio="f"/>
                </v:shape>
                <o:OLEObject Type="Embed" ProgID="Visio.Drawing.11" ShapeID="Object 58" DrawAspect="Content" ObjectID="_1468075725" r:id="rId11">
                  <o:LockedField>false</o:LockedField>
                </o:OLEObject>
              </w:pict>
            </w:r>
            <w:r>
              <w:rPr>
                <w:rFonts w:hint="default" w:ascii="Times New Roman" w:hAnsi="Times New Roman" w:eastAsia="宋体" w:cs="Times New Roman"/>
                <w:spacing w:val="0"/>
                <w:sz w:val="24"/>
                <w:szCs w:val="24"/>
                <w:lang w:val="en-US" w:eastAsia="zh-CN"/>
              </w:rPr>
              <w:t>监测点位示意图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cs="Times New Roman"/>
                <w:b/>
                <w:spacing w:val="0"/>
                <w:sz w:val="28"/>
                <w:szCs w:val="28"/>
                <w:lang w:eastAsia="zh-CN"/>
              </w:rPr>
              <w:pict>
                <v:shape id="_x0000_s1043" o:spid="_x0000_s1043" o:spt="75" type="#_x0000_t75" style="position:absolute;left:0pt;margin-left:218.05pt;margin-top:1.2pt;height:217.2pt;width:249.45pt;z-index:-251651072;mso-width-relative:page;mso-height-relative:page;" o:ole="t" filled="f" o:preferrelative="t" stroked="f" coordsize="21600,21600">
                  <v:path/>
                  <v:fill on="f" focussize="0,0"/>
                  <v:stroke on="f"/>
                  <v:imagedata r:id="rId14" croptop="3689f" cropbottom="1316f" o:title=""/>
                  <o:lock v:ext="edit" aspectratio="f"/>
                </v:shape>
                <o:OLEObject Type="Embed" ProgID="Visio.Drawing.11" ShapeID="_x0000_s1043" DrawAspect="Content" ObjectID="_1468075726" r:id="rId13">
                  <o:LockedField>false</o:LockedField>
                </o:OLEObject>
              </w:pic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lang w:val="en-US" w:eastAsia="zh-CN"/>
              </w:rPr>
              <w:t>b、无组织废气监测结果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eastAsia="zh-CN"/>
              </w:rPr>
              <w:t>无组织</w:t>
            </w:r>
            <w:r>
              <w:rPr>
                <w:rFonts w:hint="default" w:ascii="Times New Roman" w:hAnsi="Times New Roman" w:eastAsia="宋体" w:cs="Times New Roman"/>
                <w:spacing w:val="0"/>
                <w:sz w:val="21"/>
                <w:szCs w:val="21"/>
                <w:lang w:val="en-US" w:eastAsia="zh-CN"/>
              </w:rPr>
              <w:t>废气</w:t>
            </w:r>
            <w:r>
              <w:rPr>
                <w:rFonts w:hint="default" w:ascii="Times New Roman" w:hAnsi="Times New Roman" w:eastAsia="宋体" w:cs="Times New Roman"/>
                <w:spacing w:val="0"/>
                <w:sz w:val="21"/>
                <w:szCs w:val="21"/>
              </w:rPr>
              <w:t>监测结果（单位：</w:t>
            </w:r>
            <w:r>
              <w:rPr>
                <w:rFonts w:hint="default" w:ascii="Times New Roman" w:hAnsi="Times New Roman" w:eastAsia="宋体" w:cs="Times New Roman"/>
                <w:spacing w:val="0"/>
                <w:sz w:val="21"/>
                <w:szCs w:val="21"/>
                <w:lang w:val="en-US" w:eastAsia="zh-CN"/>
              </w:rPr>
              <w:t>mg/m</w:t>
            </w:r>
            <w:r>
              <w:rPr>
                <w:rFonts w:hint="default" w:ascii="Times New Roman" w:hAnsi="Times New Roman" w:eastAsia="宋体" w:cs="Times New Roman"/>
                <w:spacing w:val="0"/>
                <w:sz w:val="21"/>
                <w:szCs w:val="21"/>
                <w:vertAlign w:val="superscript"/>
                <w:lang w:val="en-US" w:eastAsia="zh-CN"/>
              </w:rPr>
              <w:t>3</w:t>
            </w:r>
            <w:r>
              <w:rPr>
                <w:rFonts w:hint="default" w:ascii="Times New Roman" w:hAnsi="Times New Roman" w:eastAsia="宋体" w:cs="Times New Roman"/>
                <w:spacing w:val="0"/>
                <w:sz w:val="21"/>
                <w:szCs w:val="21"/>
              </w:rPr>
              <w:t>）</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8"/>
              <w:gridCol w:w="2"/>
              <w:gridCol w:w="1637"/>
              <w:gridCol w:w="852"/>
              <w:gridCol w:w="852"/>
              <w:gridCol w:w="852"/>
              <w:gridCol w:w="855"/>
              <w:gridCol w:w="1689"/>
              <w:gridCol w:w="9"/>
              <w:gridCol w:w="10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项目</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bCs/>
                      <w:spacing w:val="0"/>
                      <w:sz w:val="21"/>
                      <w:szCs w:val="21"/>
                      <w:lang w:val="en-US" w:eastAsia="zh-CN"/>
                    </w:rPr>
                  </w:pPr>
                  <w:r>
                    <w:rPr>
                      <w:rFonts w:hint="default" w:ascii="Times New Roman" w:hAnsi="Times New Roman" w:eastAsia="宋体" w:cs="Times New Roman"/>
                      <w:spacing w:val="0"/>
                      <w:sz w:val="21"/>
                      <w:szCs w:val="21"/>
                    </w:rPr>
                    <w:t>及</w:t>
                  </w:r>
                  <w:r>
                    <w:rPr>
                      <w:rFonts w:hint="default" w:ascii="Times New Roman" w:hAnsi="Times New Roman" w:eastAsia="宋体" w:cs="Times New Roman"/>
                      <w:spacing w:val="0"/>
                      <w:sz w:val="21"/>
                      <w:szCs w:val="21"/>
                      <w:lang w:val="en-US" w:eastAsia="zh-CN"/>
                    </w:rPr>
                    <w:t>日期</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点位</w:t>
                  </w:r>
                </w:p>
              </w:tc>
              <w:tc>
                <w:tcPr>
                  <w:tcW w:w="3411"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监测结果及频次</w:t>
                  </w:r>
                </w:p>
              </w:tc>
              <w:tc>
                <w:tcPr>
                  <w:tcW w:w="1698"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及标准值</w:t>
                  </w:r>
                </w:p>
              </w:tc>
              <w:tc>
                <w:tcPr>
                  <w:tcW w:w="1091"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1</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2</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p>
              </w:tc>
              <w:tc>
                <w:tcPr>
                  <w:tcW w:w="855"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最大值</w:t>
                  </w:r>
                </w:p>
              </w:tc>
              <w:tc>
                <w:tcPr>
                  <w:tcW w:w="1698"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091"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2023.07.03</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0.96</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1.00</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1689" w:type="dxa"/>
                  <w:vMerge w:val="restart"/>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0.88</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0.96</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0.95</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1.65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1.81</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1.73</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1.81</w:t>
                  </w:r>
                </w:p>
              </w:tc>
              <w:tc>
                <w:tcPr>
                  <w:tcW w:w="1689" w:type="dxa"/>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w:t>
                  </w:r>
                  <w:r>
                    <w:rPr>
                      <w:rFonts w:hint="default" w:ascii="Times New Roman" w:hAnsi="Times New Roman" w:eastAsia="宋体" w:cs="Times New Roman"/>
                      <w:kern w:val="0"/>
                      <w:sz w:val="21"/>
                      <w:szCs w:val="21"/>
                      <w:lang w:val="en-US" w:eastAsia="zh-CN" w:bidi="ar-SA"/>
                    </w:rPr>
                    <w:t>.0</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2023.07.04</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0.93</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1689" w:type="dxa"/>
                  <w:vMerge w:val="restart"/>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1.00</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0.96</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0.94</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1.69</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1.77</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1.84</w:t>
                  </w:r>
                </w:p>
              </w:tc>
              <w:tc>
                <w:tcPr>
                  <w:tcW w:w="1689" w:type="dxa"/>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w:t>
                  </w:r>
                  <w:r>
                    <w:rPr>
                      <w:rFonts w:hint="default" w:ascii="Times New Roman" w:hAnsi="Times New Roman" w:eastAsia="宋体" w:cs="Times New Roman"/>
                      <w:kern w:val="0"/>
                      <w:sz w:val="21"/>
                      <w:szCs w:val="21"/>
                      <w:lang w:val="en-US" w:eastAsia="zh-CN" w:bidi="ar-SA"/>
                    </w:rPr>
                    <w:t>.0</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eastAsia" w:ascii="Times New Roman" w:hAnsi="Times New Roman" w:cs="Times New Roman"/>
                <w:b/>
                <w:spacing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3）废水监测结果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sz w:val="18"/>
                <w:szCs w:val="18"/>
              </w:rPr>
            </w:pPr>
            <w:r>
              <w:rPr>
                <w:rFonts w:hint="default" w:ascii="Times New Roman" w:hAnsi="Times New Roman" w:eastAsia="宋体" w:cs="Times New Roman"/>
                <w:spacing w:val="0"/>
                <w:sz w:val="24"/>
                <w:szCs w:val="24"/>
                <w:lang w:eastAsia="zh-CN"/>
              </w:rPr>
              <w:t>废水</w:t>
            </w:r>
            <w:r>
              <w:rPr>
                <w:rFonts w:hint="default" w:ascii="Times New Roman" w:hAnsi="Times New Roman" w:eastAsia="宋体" w:cs="Times New Roman"/>
                <w:spacing w:val="0"/>
                <w:sz w:val="24"/>
                <w:szCs w:val="24"/>
                <w:lang w:val="en-US" w:eastAsia="zh-CN"/>
              </w:rPr>
              <w:t>监</w:t>
            </w:r>
            <w:r>
              <w:rPr>
                <w:rFonts w:hint="default" w:ascii="Times New Roman" w:hAnsi="Times New Roman" w:eastAsia="宋体" w:cs="Times New Roman"/>
                <w:spacing w:val="0"/>
                <w:sz w:val="24"/>
                <w:szCs w:val="24"/>
                <w:lang w:eastAsia="zh-CN"/>
              </w:rPr>
              <w:t>测</w:t>
            </w:r>
            <w:r>
              <w:rPr>
                <w:rFonts w:hint="default" w:ascii="Times New Roman" w:hAnsi="Times New Roman" w:eastAsia="宋体" w:cs="Times New Roman"/>
                <w:spacing w:val="0"/>
                <w:sz w:val="24"/>
                <w:szCs w:val="24"/>
              </w:rPr>
              <w:t>结果</w:t>
            </w:r>
          </w:p>
          <w:tbl>
            <w:tblPr>
              <w:tblStyle w:val="2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85"/>
              <w:gridCol w:w="891"/>
              <w:gridCol w:w="802"/>
              <w:gridCol w:w="802"/>
              <w:gridCol w:w="802"/>
              <w:gridCol w:w="802"/>
              <w:gridCol w:w="802"/>
              <w:gridCol w:w="1525"/>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Merge w:val="restart"/>
                  <w:noWrap w:val="0"/>
                  <w:vAlign w:val="center"/>
                </w:tcPr>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lang w:val="en-US" w:eastAsia="zh-CN"/>
                    </w:rPr>
                    <w:t>监测</w:t>
                  </w:r>
                  <w:r>
                    <w:rPr>
                      <w:rFonts w:hint="default" w:ascii="Times New Roman" w:hAnsi="Times New Roman" w:eastAsia="宋体" w:cs="Times New Roman"/>
                      <w:spacing w:val="0"/>
                      <w:kern w:val="0"/>
                      <w:sz w:val="21"/>
                      <w:szCs w:val="21"/>
                    </w:rPr>
                    <w:t>点位</w:t>
                  </w:r>
                </w:p>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lang w:eastAsia="zh-CN"/>
                    </w:rPr>
                    <w:t>及时间</w:t>
                  </w:r>
                </w:p>
              </w:tc>
              <w:tc>
                <w:tcPr>
                  <w:tcW w:w="885" w:type="dxa"/>
                  <w:vMerge w:val="restar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eastAsia="宋体" w:cs="Times New Roman"/>
                      <w:spacing w:val="0"/>
                      <w:kern w:val="0"/>
                      <w:sz w:val="21"/>
                      <w:szCs w:val="21"/>
                      <w:lang w:val="en-US" w:eastAsia="zh-CN"/>
                    </w:rPr>
                    <w:t>监</w:t>
                  </w:r>
                  <w:r>
                    <w:rPr>
                      <w:rFonts w:hint="default" w:ascii="Times New Roman" w:hAnsi="Times New Roman" w:eastAsia="宋体" w:cs="Times New Roman"/>
                      <w:spacing w:val="0"/>
                      <w:kern w:val="0"/>
                      <w:sz w:val="21"/>
                      <w:szCs w:val="21"/>
                      <w:lang w:eastAsia="zh-CN"/>
                    </w:rPr>
                    <w:t>测</w:t>
                  </w:r>
                </w:p>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项目</w:t>
                  </w:r>
                </w:p>
              </w:tc>
              <w:tc>
                <w:tcPr>
                  <w:tcW w:w="891" w:type="dxa"/>
                  <w:vMerge w:val="restart"/>
                  <w:noWrap w:val="0"/>
                  <w:vAlign w:val="center"/>
                </w:tcPr>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单位</w:t>
                  </w:r>
                </w:p>
              </w:tc>
              <w:tc>
                <w:tcPr>
                  <w:tcW w:w="3208" w:type="dxa"/>
                  <w:gridSpan w:val="4"/>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eastAsia="宋体" w:cs="Times New Roman"/>
                      <w:sz w:val="21"/>
                      <w:szCs w:val="21"/>
                    </w:rPr>
                    <w:t>监测结果</w:t>
                  </w:r>
                  <w:r>
                    <w:rPr>
                      <w:rFonts w:hint="default" w:ascii="Times New Roman" w:hAnsi="Times New Roman" w:eastAsia="宋体" w:cs="Times New Roman"/>
                      <w:sz w:val="21"/>
                      <w:szCs w:val="21"/>
                      <w:lang w:val="en-US" w:eastAsia="zh-CN"/>
                    </w:rPr>
                    <w:t>及频次</w:t>
                  </w:r>
                </w:p>
              </w:tc>
              <w:tc>
                <w:tcPr>
                  <w:tcW w:w="802"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均值</w:t>
                  </w:r>
                </w:p>
              </w:tc>
              <w:tc>
                <w:tcPr>
                  <w:tcW w:w="1525"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执行标准</w:t>
                  </w:r>
                </w:p>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及标准值</w:t>
                  </w:r>
                </w:p>
              </w:tc>
              <w:tc>
                <w:tcPr>
                  <w:tcW w:w="628" w:type="dxa"/>
                  <w:vMerge w:val="restart"/>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eastAsia="zh-CN"/>
                    </w:rPr>
                  </w:pPr>
                </w:p>
              </w:tc>
              <w:tc>
                <w:tcPr>
                  <w:tcW w:w="885" w:type="dxa"/>
                  <w:vMerge w:val="continue"/>
                  <w:noWrap w:val="0"/>
                  <w:vAlign w:val="center"/>
                </w:tcPr>
                <w:p>
                  <w:pPr>
                    <w:widowControl/>
                    <w:jc w:val="center"/>
                    <w:rPr>
                      <w:rFonts w:hint="default" w:ascii="Times New Roman" w:hAnsi="Times New Roman" w:eastAsia="宋体" w:cs="Times New Roman"/>
                      <w:spacing w:val="0"/>
                      <w:kern w:val="0"/>
                      <w:sz w:val="21"/>
                      <w:szCs w:val="21"/>
                    </w:rPr>
                  </w:pPr>
                </w:p>
              </w:tc>
              <w:tc>
                <w:tcPr>
                  <w:tcW w:w="891" w:type="dxa"/>
                  <w:vMerge w:val="continue"/>
                  <w:noWrap w:val="0"/>
                  <w:vAlign w:val="center"/>
                </w:tcPr>
                <w:p>
                  <w:pPr>
                    <w:widowControl/>
                    <w:jc w:val="center"/>
                    <w:rPr>
                      <w:rFonts w:hint="default" w:ascii="Times New Roman" w:hAnsi="Times New Roman" w:eastAsia="宋体" w:cs="Times New Roman"/>
                      <w:spacing w:val="0"/>
                      <w:kern w:val="0"/>
                      <w:sz w:val="21"/>
                      <w:szCs w:val="21"/>
                    </w:rPr>
                  </w:pP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1</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2</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3</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4</w:t>
                  </w:r>
                </w:p>
              </w:tc>
              <w:tc>
                <w:tcPr>
                  <w:tcW w:w="802"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1525"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628" w:type="dxa"/>
                  <w:vMerge w:val="continue"/>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污水排放口2023.07.03</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化学需氧量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84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72</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77</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average(D3:G3)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74</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五日生化需氧量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17.6</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19.1</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15.6</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16.1</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average(D4:G4)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17.1</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150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悬浮物</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58</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62</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59</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average(D5:G5)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61</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氨氮</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1.55</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1.74</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1.90</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1.10</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average(D6:G6)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1.57</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45</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污水排放口2023.07.04</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化学需氧量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82</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68</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60</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74</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average(D7:G7)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71</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500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五日生化需氧量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16.2</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17.7</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18.2</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15.2</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average(D8:G8)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16.8</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150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悬浮物</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58</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66</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65</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61</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average(D9:G9)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62</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eastAsia"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400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氨氮</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mg/L</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1.94</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1.64</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2.12</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1.54</w:t>
                  </w:r>
                </w:p>
              </w:tc>
              <w:tc>
                <w:tcPr>
                  <w:tcW w:w="802"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average(D10:G10)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1.81</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eastAsia"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45</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排放总量</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化学需氧量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t/a</w:t>
                  </w:r>
                </w:p>
              </w:tc>
              <w:tc>
                <w:tcPr>
                  <w:tcW w:w="6163" w:type="dxa"/>
                  <w:gridSpan w:val="7"/>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氨氮</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t/a</w:t>
                  </w:r>
                </w:p>
              </w:tc>
              <w:tc>
                <w:tcPr>
                  <w:tcW w:w="6163" w:type="dxa"/>
                  <w:gridSpan w:val="7"/>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4.34×10</w:t>
                  </w:r>
                  <w:r>
                    <w:rPr>
                      <w:rFonts w:hint="eastAsia" w:ascii="Times New Roman" w:hAnsi="Times New Roman" w:eastAsia="宋体" w:cs="Times New Roman"/>
                      <w:spacing w:val="0"/>
                      <w:kern w:val="0"/>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备注</w:t>
                  </w:r>
                </w:p>
              </w:tc>
              <w:tc>
                <w:tcPr>
                  <w:tcW w:w="7939" w:type="dxa"/>
                  <w:gridSpan w:val="9"/>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年排水量</w:t>
                  </w:r>
                  <w:r>
                    <w:rPr>
                      <w:rFonts w:hint="eastAsia" w:ascii="Times New Roman" w:hAnsi="Times New Roman" w:eastAsia="宋体" w:cs="Times New Roman"/>
                      <w:color w:val="000000"/>
                      <w:sz w:val="21"/>
                      <w:szCs w:val="21"/>
                      <w:lang w:val="en-US" w:eastAsia="zh-CN"/>
                    </w:rPr>
                    <w:t>240</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/a</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b/>
                <w:spacing w:val="0"/>
                <w:sz w:val="28"/>
                <w:szCs w:val="28"/>
                <w:lang w:val="en-US" w:eastAsia="zh-CN"/>
              </w:rPr>
              <w:t>4</w:t>
            </w:r>
            <w:r>
              <w:rPr>
                <w:rFonts w:hint="default" w:ascii="Times New Roman" w:hAnsi="Times New Roman" w:eastAsia="宋体" w:cs="Times New Roman"/>
                <w:b/>
                <w:bCs/>
                <w:sz w:val="24"/>
                <w:szCs w:val="24"/>
                <w:lang w:val="en-US" w:eastAsia="zh-CN"/>
              </w:rPr>
              <w:t>）噪声监测结果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spacing w:val="0"/>
                <w:sz w:val="28"/>
                <w:szCs w:val="28"/>
                <w:lang w:eastAsia="zh-CN"/>
              </w:rPr>
              <w:pict>
                <v:shape id="_x0000_s1045" o:spid="_x0000_s1045" o:spt="75" type="#_x0000_t75" style="position:absolute;left:0pt;margin-left:215.6pt;margin-top:20.5pt;height:217.2pt;width:249.45pt;z-index:-251649024;mso-width-relative:page;mso-height-relative:page;" o:ole="t" filled="f" o:preferrelative="t" stroked="f" coordsize="21600,21600">
                  <v:path/>
                  <v:fill on="f" focussize="0,0"/>
                  <v:stroke on="f"/>
                  <v:imagedata r:id="rId14" croptop="3689f" cropbottom="1316f" o:title=""/>
                  <o:lock v:ext="edit" aspectratio="f"/>
                </v:shape>
                <o:OLEObject Type="Embed" ProgID="Visio.Drawing.11" ShapeID="_x0000_s1045" DrawAspect="Content" ObjectID="_1468075727" r:id="rId15">
                  <o:LockedField>false</o:LockedField>
                </o:OLEObject>
              </w:pict>
            </w:r>
            <w:r>
              <w:rPr>
                <w:rFonts w:hint="default" w:ascii="Times New Roman" w:hAnsi="Times New Roman" w:cs="Times New Roman"/>
                <w:b/>
                <w:spacing w:val="0"/>
                <w:sz w:val="28"/>
                <w:szCs w:val="28"/>
                <w:lang w:eastAsia="zh-CN"/>
              </w:rPr>
              <w:pict>
                <v:shape id="_x0000_s1044" o:spid="_x0000_s1044" o:spt="75" type="#_x0000_t75" style="position:absolute;left:0pt;margin-left:-16.4pt;margin-top:13.45pt;height:217.2pt;width:249.45pt;z-index:-251650048;mso-width-relative:page;mso-height-relative:page;" o:ole="t" filled="f" o:preferrelative="t" stroked="f" coordsize="21600,21600">
                  <v:path/>
                  <v:fill on="f" focussize="0,0"/>
                  <v:stroke on="f"/>
                  <v:imagedata r:id="rId12" croptop="3689f" cropbottom="1316f" o:title=""/>
                  <o:lock v:ext="edit" aspectratio="f"/>
                </v:shape>
                <o:OLEObject Type="Embed" ProgID="Visio.Drawing.11" ShapeID="_x0000_s1044" DrawAspect="Content" ObjectID="_1468075728" r:id="rId16">
                  <o:LockedField>false</o:LockedField>
                </o:OLEObject>
              </w:pict>
            </w:r>
            <w:r>
              <w:rPr>
                <w:rFonts w:hint="default" w:ascii="Times New Roman" w:hAnsi="Times New Roman" w:eastAsia="宋体" w:cs="Times New Roman"/>
                <w:b w:val="0"/>
                <w:bCs w:val="0"/>
                <w:spacing w:val="0"/>
                <w:sz w:val="24"/>
                <w:szCs w:val="24"/>
                <w:lang w:val="en-US" w:eastAsia="zh-CN"/>
              </w:rPr>
              <w:t>a</w:t>
            </w:r>
            <w:r>
              <w:rPr>
                <w:rFonts w:hint="default" w:ascii="Times New Roman" w:hAnsi="Times New Roman" w:eastAsia="宋体" w:cs="Times New Roman"/>
                <w:b w:val="0"/>
                <w:bCs w:val="0"/>
                <w:sz w:val="24"/>
                <w:szCs w:val="24"/>
                <w:lang w:val="en-US" w:eastAsia="zh-CN"/>
              </w:rPr>
              <w:t>、监测点位示意图</w:t>
            </w: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6"/>
              <w:rPr>
                <w:rFonts w:hint="default"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b、噪声监测结果（</w:t>
            </w:r>
            <w:r>
              <w:rPr>
                <w:rFonts w:hint="default" w:ascii="Times New Roman" w:hAnsi="Times New Roman" w:eastAsia="宋体" w:cs="Times New Roman"/>
                <w:spacing w:val="0"/>
                <w:sz w:val="24"/>
                <w:szCs w:val="24"/>
              </w:rPr>
              <w:t>单位：</w:t>
            </w:r>
            <w:r>
              <w:rPr>
                <w:rFonts w:hint="default" w:ascii="Times New Roman" w:hAnsi="Times New Roman" w:eastAsia="宋体" w:cs="Times New Roman"/>
                <w:spacing w:val="0"/>
                <w:kern w:val="2"/>
                <w:sz w:val="24"/>
                <w:szCs w:val="24"/>
                <w:lang w:val="en-US" w:eastAsia="zh-CN" w:bidi="ar-SA"/>
              </w:rPr>
              <w:t>dB(A)）</w:t>
            </w:r>
          </w:p>
          <w:tbl>
            <w:tblPr>
              <w:tblStyle w:val="21"/>
              <w:tblpPr w:leftFromText="180" w:rightFromText="180" w:vertAnchor="text" w:tblpXSpec="center" w:tblpY="1"/>
              <w:tblOverlap w:val="never"/>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785"/>
              <w:gridCol w:w="785"/>
              <w:gridCol w:w="785"/>
              <w:gridCol w:w="788"/>
              <w:gridCol w:w="177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68"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监测点位</w:t>
                  </w:r>
                </w:p>
              </w:tc>
              <w:tc>
                <w:tcPr>
                  <w:tcW w:w="1570" w:type="dxa"/>
                  <w:gridSpan w:val="2"/>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2023.07.03</w:t>
                  </w:r>
                </w:p>
              </w:tc>
              <w:tc>
                <w:tcPr>
                  <w:tcW w:w="1573" w:type="dxa"/>
                  <w:gridSpan w:val="2"/>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2023.07.04</w:t>
                  </w:r>
                </w:p>
              </w:tc>
              <w:tc>
                <w:tcPr>
                  <w:tcW w:w="1772" w:type="dxa"/>
                  <w:vMerge w:val="restart"/>
                  <w:tcBorders>
                    <w:tl2br w:val="nil"/>
                    <w:tr2bl w:val="nil"/>
                  </w:tcBorders>
                  <w:vAlign w:val="center"/>
                </w:tcPr>
                <w:p>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执行标准</w:t>
                  </w:r>
                </w:p>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Cs w:val="21"/>
                    </w:rPr>
                    <w:t>及标准值</w:t>
                  </w:r>
                </w:p>
              </w:tc>
              <w:tc>
                <w:tcPr>
                  <w:tcW w:w="1501"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68" w:type="dxa"/>
                  <w:vMerge w:val="continue"/>
                  <w:tcBorders>
                    <w:tl2br w:val="nil"/>
                    <w:tr2bl w:val="nil"/>
                  </w:tcBorders>
                  <w:vAlign w:val="center"/>
                </w:tcPr>
                <w:p>
                  <w:pPr>
                    <w:jc w:val="center"/>
                    <w:rPr>
                      <w:rFonts w:hint="default" w:ascii="Times New Roman" w:hAnsi="Times New Roman" w:eastAsia="宋体" w:cs="Times New Roman"/>
                      <w:spacing w:val="0"/>
                      <w:sz w:val="21"/>
                      <w:szCs w:val="21"/>
                    </w:rPr>
                  </w:pPr>
                </w:p>
              </w:tc>
              <w:tc>
                <w:tcPr>
                  <w:tcW w:w="785"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785"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夜</w:t>
                  </w:r>
                  <w:r>
                    <w:rPr>
                      <w:rFonts w:hint="default" w:ascii="Times New Roman" w:hAnsi="Times New Roman" w:eastAsia="宋体" w:cs="Times New Roman"/>
                      <w:b w:val="0"/>
                      <w:bCs/>
                      <w:sz w:val="21"/>
                      <w:szCs w:val="21"/>
                    </w:rPr>
                    <w:t>间</w:t>
                  </w:r>
                </w:p>
              </w:tc>
              <w:tc>
                <w:tcPr>
                  <w:tcW w:w="785"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788"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夜</w:t>
                  </w:r>
                  <w:r>
                    <w:rPr>
                      <w:rFonts w:hint="default" w:ascii="Times New Roman" w:hAnsi="Times New Roman" w:eastAsia="宋体" w:cs="Times New Roman"/>
                      <w:b w:val="0"/>
                      <w:bCs/>
                      <w:sz w:val="21"/>
                      <w:szCs w:val="21"/>
                    </w:rPr>
                    <w:t>间</w:t>
                  </w:r>
                </w:p>
              </w:tc>
              <w:tc>
                <w:tcPr>
                  <w:tcW w:w="1772"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c>
                <w:tcPr>
                  <w:tcW w:w="1501"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w:t>
                  </w:r>
                </w:p>
              </w:tc>
              <w:tc>
                <w:tcPr>
                  <w:tcW w:w="785"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56.6</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46.8</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56.4</w:t>
                  </w:r>
                </w:p>
              </w:tc>
              <w:tc>
                <w:tcPr>
                  <w:tcW w:w="78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46.5</w:t>
                  </w:r>
                </w:p>
              </w:tc>
              <w:tc>
                <w:tcPr>
                  <w:tcW w:w="1772" w:type="dxa"/>
                  <w:vMerge w:val="restart"/>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val="en-US" w:eastAsia="zh-CN"/>
                    </w:rPr>
                    <w:t>GB 12348-2008</w:t>
                  </w:r>
                  <w:r>
                    <w:rPr>
                      <w:rFonts w:hint="default" w:ascii="Times New Roman" w:hAnsi="Times New Roman" w:eastAsia="宋体" w:cs="Times New Roman"/>
                      <w:sz w:val="21"/>
                      <w:szCs w:val="21"/>
                    </w:rPr>
                    <w:t>昼间：</w:t>
                  </w:r>
                  <w:r>
                    <w:rPr>
                      <w:rFonts w:hint="eastAsia" w:ascii="Times New Roman" w:hAnsi="Times New Roman" w:eastAsia="宋体" w:cs="Times New Roman"/>
                      <w:sz w:val="21"/>
                      <w:szCs w:val="21"/>
                      <w:lang w:val="en-US" w:eastAsia="zh-CN"/>
                    </w:rPr>
                    <w:t>65</w:t>
                  </w:r>
                </w:p>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夜</w:t>
                  </w:r>
                  <w:r>
                    <w:rPr>
                      <w:rFonts w:hint="default" w:ascii="Times New Roman" w:hAnsi="Times New Roman" w:eastAsia="宋体" w:cs="Times New Roman"/>
                      <w:sz w:val="21"/>
                      <w:szCs w:val="21"/>
                    </w:rPr>
                    <w:t>间：</w:t>
                  </w:r>
                  <w:r>
                    <w:rPr>
                      <w:rFonts w:hint="eastAsia" w:ascii="Times New Roman" w:hAnsi="Times New Roman" w:eastAsia="宋体" w:cs="Times New Roman"/>
                      <w:sz w:val="21"/>
                      <w:szCs w:val="21"/>
                      <w:lang w:val="en-US" w:eastAsia="zh-CN"/>
                    </w:rPr>
                    <w:t>55</w:t>
                  </w: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西</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w:t>
                  </w:r>
                </w:p>
              </w:tc>
              <w:tc>
                <w:tcPr>
                  <w:tcW w:w="785"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58.3</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48.6</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58.1</w:t>
                  </w:r>
                </w:p>
              </w:tc>
              <w:tc>
                <w:tcPr>
                  <w:tcW w:w="78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48.5</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▲3</w:t>
                  </w:r>
                  <w:r>
                    <w:rPr>
                      <w:rFonts w:hint="default" w:ascii="Times New Roman" w:hAnsi="Times New Roman" w:eastAsia="宋体" w:cs="Times New Roman"/>
                      <w:spacing w:val="0"/>
                      <w:sz w:val="21"/>
                      <w:szCs w:val="21"/>
                      <w:lang w:val="en-US" w:eastAsia="zh-CN"/>
                    </w:rPr>
                    <w:t>#）</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57.8</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47.6</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57.8</w:t>
                  </w:r>
                </w:p>
              </w:tc>
              <w:tc>
                <w:tcPr>
                  <w:tcW w:w="78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47.8</w:t>
                  </w:r>
                </w:p>
              </w:tc>
              <w:tc>
                <w:tcPr>
                  <w:tcW w:w="1772" w:type="dxa"/>
                  <w:vMerge w:val="restart"/>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val="en-US" w:eastAsia="zh-CN"/>
                    </w:rPr>
                    <w:t>GB 12348-2008</w:t>
                  </w:r>
                  <w:r>
                    <w:rPr>
                      <w:rFonts w:hint="default" w:ascii="Times New Roman" w:hAnsi="Times New Roman" w:eastAsia="宋体" w:cs="Times New Roman"/>
                      <w:sz w:val="21"/>
                      <w:szCs w:val="21"/>
                    </w:rPr>
                    <w:t>昼间：</w:t>
                  </w:r>
                  <w:r>
                    <w:rPr>
                      <w:rFonts w:hint="eastAsia" w:ascii="Times New Roman" w:hAnsi="Times New Roman" w:eastAsia="宋体" w:cs="Times New Roman"/>
                      <w:sz w:val="21"/>
                      <w:szCs w:val="21"/>
                      <w:lang w:val="en-US" w:eastAsia="zh-CN"/>
                    </w:rPr>
                    <w:t>70</w:t>
                  </w:r>
                </w:p>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夜</w:t>
                  </w:r>
                  <w:r>
                    <w:rPr>
                      <w:rFonts w:hint="default" w:ascii="Times New Roman" w:hAnsi="Times New Roman" w:eastAsia="宋体" w:cs="Times New Roman"/>
                      <w:sz w:val="21"/>
                      <w:szCs w:val="21"/>
                    </w:rPr>
                    <w:t>间：</w:t>
                  </w:r>
                  <w:r>
                    <w:rPr>
                      <w:rFonts w:hint="eastAsia" w:ascii="Times New Roman" w:hAnsi="Times New Roman" w:eastAsia="宋体" w:cs="Times New Roman"/>
                      <w:sz w:val="21"/>
                      <w:szCs w:val="21"/>
                      <w:lang w:val="en-US" w:eastAsia="zh-CN"/>
                    </w:rPr>
                    <w:t>55</w:t>
                  </w: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东</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▲4</w:t>
                  </w:r>
                  <w:r>
                    <w:rPr>
                      <w:rFonts w:hint="default" w:ascii="Times New Roman" w:hAnsi="Times New Roman" w:eastAsia="宋体" w:cs="Times New Roman"/>
                      <w:spacing w:val="0"/>
                      <w:sz w:val="21"/>
                      <w:szCs w:val="21"/>
                      <w:lang w:val="en-US" w:eastAsia="zh-CN"/>
                    </w:rPr>
                    <w:t>#）</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60.6</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49.5</w:t>
                  </w:r>
                </w:p>
              </w:tc>
              <w:tc>
                <w:tcPr>
                  <w:tcW w:w="785"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60.2</w:t>
                  </w:r>
                </w:p>
              </w:tc>
              <w:tc>
                <w:tcPr>
                  <w:tcW w:w="78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49.9</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right="0" w:rightChars="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2、建设项目环境保护措施监督检查清单落实情况</w:t>
            </w:r>
          </w:p>
          <w:tbl>
            <w:tblPr>
              <w:tblStyle w:val="21"/>
              <w:tblW w:w="8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05"/>
              <w:gridCol w:w="1101"/>
              <w:gridCol w:w="2175"/>
              <w:gridCol w:w="2584"/>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9" w:type="dxa"/>
                  <w:tcBorders>
                    <w:tl2br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排放口(编号、名称)/污染源</w:t>
                  </w:r>
                </w:p>
              </w:tc>
              <w:tc>
                <w:tcPr>
                  <w:tcW w:w="110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17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258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c>
                <w:tcPr>
                  <w:tcW w:w="9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大气环境</w:t>
                  </w:r>
                </w:p>
              </w:tc>
              <w:tc>
                <w:tcPr>
                  <w:tcW w:w="1205" w:type="dxa"/>
                  <w:noWrap w:val="0"/>
                  <w:vAlign w:val="center"/>
                </w:tcPr>
                <w:p>
                  <w:pPr>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印刷工序</w:t>
                  </w:r>
                  <w:r>
                    <w:rPr>
                      <w:rFonts w:hint="default" w:ascii="Times New Roman" w:hAnsi="Times New Roman" w:eastAsia="宋体" w:cs="Times New Roman"/>
                      <w:color w:val="000000"/>
                      <w:sz w:val="21"/>
                      <w:szCs w:val="21"/>
                    </w:rPr>
                    <w:t>废气排气筒</w:t>
                  </w:r>
                  <w:r>
                    <w:rPr>
                      <w:rFonts w:hint="eastAsia" w:ascii="Times New Roman" w:hAnsi="Times New Roman" w:eastAsia="宋体" w:cs="Times New Roman"/>
                      <w:color w:val="000000"/>
                      <w:sz w:val="21"/>
                      <w:szCs w:val="21"/>
                      <w:lang w:val="en-US" w:eastAsia="zh-CN"/>
                    </w:rPr>
                    <w:t>/DA001</w:t>
                  </w:r>
                </w:p>
              </w:tc>
              <w:tc>
                <w:tcPr>
                  <w:tcW w:w="1101" w:type="dxa"/>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非甲烷总烃</w:t>
                  </w:r>
                </w:p>
              </w:tc>
              <w:tc>
                <w:tcPr>
                  <w:tcW w:w="2175" w:type="dxa"/>
                  <w:noWrap w:val="0"/>
                  <w:vAlign w:val="center"/>
                </w:tcPr>
                <w:p>
                  <w:pPr>
                    <w:adjustRightInd w:val="0"/>
                    <w:snapToGrid w:val="0"/>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集气罩（加装软帘）+二级活性炭吸附装置+1根15m高排气筒</w:t>
                  </w:r>
                </w:p>
              </w:tc>
              <w:tc>
                <w:tcPr>
                  <w:tcW w:w="2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《工业企业挥发性有机物排放控制标准》(DB13/2322-2016)表1</w:t>
                  </w:r>
                  <w:r>
                    <w:rPr>
                      <w:rFonts w:hint="eastAsia" w:ascii="Times New Roman" w:hAnsi="Times New Roman" w:eastAsia="宋体" w:cs="Times New Roman"/>
                      <w:color w:val="000000"/>
                      <w:sz w:val="21"/>
                      <w:szCs w:val="21"/>
                      <w:lang w:val="en-US" w:eastAsia="zh-CN"/>
                    </w:rPr>
                    <w:t>印刷工业大气</w:t>
                  </w:r>
                  <w:r>
                    <w:rPr>
                      <w:rFonts w:hint="default" w:ascii="Times New Roman" w:hAnsi="Times New Roman" w:eastAsia="宋体" w:cs="Times New Roman"/>
                      <w:color w:val="000000"/>
                      <w:sz w:val="21"/>
                      <w:szCs w:val="21"/>
                      <w:lang w:val="en-US" w:eastAsia="zh-CN"/>
                    </w:rPr>
                    <w:t>污染物排放标准</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979" w:type="dxa"/>
                  <w:vMerge w:val="continue"/>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2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生产车间无组织废气</w:t>
                  </w:r>
                </w:p>
              </w:tc>
              <w:tc>
                <w:tcPr>
                  <w:tcW w:w="1101" w:type="dxa"/>
                  <w:noWrap w:val="0"/>
                  <w:vAlign w:val="center"/>
                </w:tcPr>
                <w:p>
                  <w:pPr>
                    <w:pStyle w:val="45"/>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非甲烷总烃</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加强废气收集，车间密闭</w:t>
                  </w:r>
                </w:p>
              </w:tc>
              <w:tc>
                <w:tcPr>
                  <w:tcW w:w="2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hAnsi="宋体" w:asciiTheme="minorHAnsi" w:eastAsiaTheme="minorEastAsia" w:cstheme="minorBidi"/>
                      <w:color w:val="000000"/>
                      <w:kern w:val="2"/>
                      <w:sz w:val="21"/>
                      <w:szCs w:val="21"/>
                      <w:lang w:val="en-US" w:eastAsia="zh-CN" w:bidi="ar-SA"/>
                    </w:rPr>
                  </w:pPr>
                  <w:r>
                    <w:rPr>
                      <w:rFonts w:hint="default" w:ascii="Times New Roman" w:hAnsi="Times New Roman" w:cs="Times New Roman"/>
                      <w:color w:val="000000"/>
                      <w:szCs w:val="21"/>
                      <w:lang w:val="en-US" w:eastAsia="zh-CN"/>
                    </w:rPr>
                    <w:t>同时执行《工业企业挥发性有机物排放控制标准》（DB13/2322-2016）中表2其他企业边界大气污染物浓度限值和《挥发性有机物无组织排放控制标准》（GB37822-2019）中表A.1厂区内VOCs无组织排放限值要求</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地表水环境</w:t>
                  </w:r>
                </w:p>
              </w:tc>
              <w:tc>
                <w:tcPr>
                  <w:tcW w:w="12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生活污水（DW001）</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COD</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ascii="Times New Roman" w:hAnsi="Times New Roman"/>
                      <w:color w:val="000000"/>
                      <w:sz w:val="21"/>
                      <w:szCs w:val="21"/>
                    </w:rPr>
                    <w:t>BOD</w:t>
                  </w:r>
                  <w:r>
                    <w:rPr>
                      <w:rFonts w:ascii="Times New Roman" w:hAnsi="Times New Roman"/>
                      <w:color w:val="000000"/>
                      <w:sz w:val="21"/>
                      <w:szCs w:val="21"/>
                      <w:vertAlign w:val="subscript"/>
                    </w:rPr>
                    <w:t>5</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SS</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氨氮</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化粪池处理达标后由开发区污水管网排至</w:t>
                  </w:r>
                  <w:r>
                    <w:rPr>
                      <w:rFonts w:hint="eastAsia"/>
                      <w:color w:val="000000"/>
                      <w:sz w:val="21"/>
                      <w:szCs w:val="21"/>
                      <w:lang w:eastAsia="zh-CN"/>
                    </w:rPr>
                    <w:t>河间市泰泽工业污水处理有限公司</w:t>
                  </w:r>
                  <w:r>
                    <w:rPr>
                      <w:rFonts w:hint="eastAsia" w:ascii="Times New Roman" w:hAnsi="Times New Roman" w:cs="Times New Roman"/>
                      <w:color w:val="000000"/>
                      <w:kern w:val="2"/>
                      <w:sz w:val="21"/>
                      <w:szCs w:val="21"/>
                      <w:lang w:val="en-US" w:eastAsia="zh-CN" w:bidi="ar-SA"/>
                    </w:rPr>
                    <w:t>进一步处理</w:t>
                  </w:r>
                </w:p>
              </w:tc>
              <w:tc>
                <w:tcPr>
                  <w:tcW w:w="2584" w:type="dxa"/>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《污水综合排放标准》（GB8978-1996）表4中三级标准及</w:t>
                  </w:r>
                  <w:r>
                    <w:rPr>
                      <w:rFonts w:hint="eastAsia"/>
                      <w:color w:val="000000"/>
                      <w:sz w:val="21"/>
                      <w:szCs w:val="21"/>
                      <w:lang w:eastAsia="zh-CN"/>
                    </w:rPr>
                    <w:t>河间市泰泽工业污水处理有限公司</w:t>
                  </w:r>
                  <w:r>
                    <w:rPr>
                      <w:rFonts w:hint="eastAsia" w:ascii="Times New Roman" w:hAnsi="Times New Roman" w:eastAsia="宋体" w:cs="Times New Roman"/>
                      <w:color w:val="000000"/>
                      <w:szCs w:val="21"/>
                      <w:lang w:val="en-US" w:eastAsia="zh-CN"/>
                    </w:rPr>
                    <w:t>进水水质要求</w:t>
                  </w:r>
                </w:p>
              </w:tc>
              <w:tc>
                <w:tcPr>
                  <w:tcW w:w="9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声环境</w:t>
                  </w:r>
                </w:p>
              </w:tc>
              <w:tc>
                <w:tcPr>
                  <w:tcW w:w="12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设备噪声</w:t>
                  </w:r>
                </w:p>
              </w:tc>
              <w:tc>
                <w:tcPr>
                  <w:tcW w:w="11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等效连续</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Cs w:val="21"/>
                      <w:lang w:val="en-US" w:eastAsia="zh-CN"/>
                    </w:rPr>
                    <w:t>A声级</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基础减振</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Cs w:val="21"/>
                      <w:lang w:val="en-US" w:eastAsia="zh-CN"/>
                    </w:rPr>
                    <w:t>厂房隔声</w:t>
                  </w:r>
                </w:p>
              </w:tc>
              <w:tc>
                <w:tcPr>
                  <w:tcW w:w="2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color w:val="000000"/>
                      <w:szCs w:val="21"/>
                      <w:lang w:val="en-US" w:eastAsia="zh-CN"/>
                    </w:rPr>
                    <w:t>《工业企业厂界环境噪声排放标准》(GB12348-2008)中</w:t>
                  </w:r>
                  <w:r>
                    <w:rPr>
                      <w:rFonts w:hint="eastAsia" w:ascii="Times New Roman" w:hAnsi="Times New Roman" w:cs="Times New Roman"/>
                      <w:color w:val="000000"/>
                      <w:szCs w:val="21"/>
                      <w:lang w:val="en-US" w:eastAsia="zh-CN"/>
                    </w:rPr>
                    <w:t>3/4</w:t>
                  </w:r>
                  <w:r>
                    <w:rPr>
                      <w:rFonts w:hint="default" w:ascii="Times New Roman" w:hAnsi="Times New Roman" w:cs="Times New Roman"/>
                      <w:color w:val="000000"/>
                      <w:szCs w:val="21"/>
                      <w:lang w:val="en-US" w:eastAsia="zh-CN"/>
                    </w:rPr>
                    <w:t>类功能区标准排放限值</w:t>
                  </w:r>
                </w:p>
              </w:tc>
              <w:tc>
                <w:tcPr>
                  <w:tcW w:w="9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default" w:eastAsiaTheme="minorEastAsia"/>
                <w:lang w:val="en-US" w:eastAsia="zh-CN"/>
              </w:rPr>
            </w:pPr>
            <w:r>
              <w:rPr>
                <w:rFonts w:hint="eastAsia"/>
                <w:lang w:val="en-US" w:eastAsia="zh-CN"/>
              </w:rPr>
              <w:t>续上表</w:t>
            </w:r>
          </w:p>
          <w:tbl>
            <w:tblPr>
              <w:tblStyle w:val="21"/>
              <w:tblW w:w="8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065"/>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w:t>
                  </w:r>
                </w:p>
              </w:tc>
              <w:tc>
                <w:tcPr>
                  <w:tcW w:w="7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废包装袋、生产过程下脚料、不合格品收集后外售综合利用；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生活垃圾收集后由环卫部门清运处置；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废油墨桶、废擦机布、废气治理设施产生的废活性炭于危废暂存间内暂存，定期交有资质单位处置。危废间建设应符合防风、防雨、防晒的要求，按照《危险废物贮存污染控制标准》(GB18597-2001)的相关要求，采取相应防渗措施。按照《环境保护图形标志 固体废物贮存(处置)场》(GB15562.2-1995)中4.1危险废物图形符号类型，4.2标志的形状及颜色设置警示标志，按第5条相关要求进行标志牌的使用与维护。盛装危险废物的容器上必须粘贴符合《危险废物贮存污染控制标准》(GB18597-2001)附录A所示的标签。建设单位须做好危险废物产生、收集、处置情况的记录，由专人进行管理明确责任，做到双人双锁。</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验收监测结论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2023年0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03</w:t>
            </w:r>
            <w:r>
              <w:rPr>
                <w:rFonts w:hint="default" w:ascii="Times New Roman" w:hAnsi="Times New Roman" w:eastAsia="宋体" w:cs="Times New Roman"/>
                <w:spacing w:val="0"/>
                <w:sz w:val="24"/>
                <w:szCs w:val="24"/>
                <w:lang w:val="en-US" w:eastAsia="zh-CN"/>
              </w:rPr>
              <w:t>日至0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04</w:t>
            </w:r>
            <w:r>
              <w:rPr>
                <w:rFonts w:hint="default" w:ascii="Times New Roman" w:hAnsi="Times New Roman" w:eastAsia="宋体" w:cs="Times New Roman"/>
                <w:spacing w:val="0"/>
                <w:sz w:val="24"/>
                <w:szCs w:val="24"/>
                <w:lang w:val="en-US" w:eastAsia="zh-CN"/>
              </w:rPr>
              <w:t>日</w:t>
            </w:r>
            <w:r>
              <w:rPr>
                <w:rFonts w:hint="default" w:ascii="Times New Roman" w:hAnsi="Times New Roman" w:eastAsia="宋体" w:cs="Times New Roman"/>
                <w:sz w:val="24"/>
                <w:szCs w:val="24"/>
                <w:lang w:val="en-US" w:eastAsia="zh-CN"/>
              </w:rPr>
              <w:t>，河北金亿嘉环境监测技术服务有限公司对</w:t>
            </w:r>
            <w:r>
              <w:rPr>
                <w:rFonts w:hint="eastAsia" w:ascii="Times New Roman" w:hAnsi="Times New Roman" w:eastAsia="宋体" w:cs="Times New Roman"/>
                <w:sz w:val="24"/>
                <w:szCs w:val="24"/>
                <w:lang w:val="en-US" w:eastAsia="zh-CN"/>
              </w:rPr>
              <w:t>河北军锋鑫诚纸制品有限公司包装制品生产项目</w:t>
            </w:r>
            <w:r>
              <w:rPr>
                <w:rFonts w:hint="default" w:ascii="Times New Roman" w:hAnsi="Times New Roman" w:eastAsia="宋体" w:cs="Times New Roman"/>
                <w:sz w:val="24"/>
                <w:szCs w:val="24"/>
                <w:lang w:val="en-US" w:eastAsia="zh-CN"/>
              </w:rPr>
              <w:t>环保设施竣工进行了现场检查和监测，在现场检查和监测的基础上编写了本报告。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lang w:eastAsia="zh-CN"/>
              </w:rPr>
              <w:t>监测期间，企业正常运行，</w:t>
            </w:r>
            <w:r>
              <w:rPr>
                <w:rFonts w:hint="default" w:ascii="Times New Roman" w:hAnsi="Times New Roman" w:eastAsia="宋体" w:cs="Times New Roman"/>
                <w:color w:val="auto"/>
                <w:sz w:val="24"/>
                <w:szCs w:val="24"/>
                <w:lang w:val="en-US" w:eastAsia="zh-CN"/>
              </w:rPr>
              <w:t>生产负荷为</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0%，符合监测工况要求</w:t>
            </w:r>
            <w:r>
              <w:rPr>
                <w:rFonts w:hint="default" w:ascii="Times New Roman" w:hAnsi="Times New Roman" w:eastAsia="宋体" w:cs="Times New Roman"/>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废气</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pacing w:val="0"/>
                <w:sz w:val="24"/>
                <w:szCs w:val="24"/>
              </w:rPr>
              <w:t>结论</w:t>
            </w:r>
          </w:p>
          <w:p>
            <w:pPr>
              <w:adjustRightInd w:val="0"/>
              <w:snapToGrid w:val="0"/>
              <w:spacing w:line="360" w:lineRule="auto"/>
              <w:ind w:firstLine="472"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auto"/>
                <w:spacing w:val="-2"/>
                <w:sz w:val="24"/>
                <w:lang w:val="en-US" w:eastAsia="zh-CN"/>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color w:val="000000" w:themeColor="text1"/>
                <w:spacing w:val="-2"/>
                <w:sz w:val="24"/>
                <w:lang w:val="en-US" w:eastAsia="zh-CN"/>
                <w14:textFill>
                  <w14:solidFill>
                    <w14:schemeClr w14:val="tx1"/>
                  </w14:solidFill>
                </w14:textFill>
              </w:rPr>
              <w:t>，</w:t>
            </w:r>
            <w:r>
              <w:rPr>
                <w:rFonts w:hint="eastAsia" w:ascii="Times New Roman" w:hAnsi="Times New Roman" w:eastAsia="宋体" w:cs="Times New Roman"/>
                <w:color w:val="auto"/>
                <w:spacing w:val="-2"/>
                <w:sz w:val="24"/>
                <w:lang w:val="en-US" w:eastAsia="zh-CN"/>
              </w:rPr>
              <w:t>项目印刷工序废气经二级活性炭吸附装置处理后由15m高排气筒排放，非甲烷总烃最高排放浓度为3.51mg/m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，满足《工业企业挥发性有机物排放控制标准》(DB13/2322-2016)表1印刷工业大气污染物排放标准（非甲烷总烃：50mg/m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），非甲烷总烃最高去除效率为45.9%。不满足</w:t>
            </w:r>
            <w:r>
              <w:rPr>
                <w:rFonts w:hint="eastAsia" w:ascii="Times New Roman" w:hAnsi="Times New Roman" w:eastAsia="宋体" w:cs="Times New Roman"/>
                <w:color w:val="auto"/>
                <w:spacing w:val="-2"/>
                <w:sz w:val="24"/>
                <w:lang w:val="en-US" w:eastAsia="zh-CN"/>
              </w:rPr>
              <w:t>《工业企业挥发性有机物排放控制标准》(DB13/2322-2016)表1印刷工业大气污染物排放标准（非甲烷总烃去除效率：70%），加测车间废气</w:t>
            </w:r>
            <w:r>
              <w:rPr>
                <w:rFonts w:hint="default" w:ascii="Times New Roman" w:hAnsi="Times New Roman" w:eastAsia="宋体" w:cs="Times New Roman"/>
                <w:color w:val="auto"/>
                <w:spacing w:val="-2"/>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无组织非甲烷总烃最高排放</w:t>
            </w:r>
            <w:r>
              <w:rPr>
                <w:rFonts w:hint="default" w:ascii="Times New Roman" w:hAnsi="Times New Roman" w:eastAsia="宋体" w:cs="Times New Roman"/>
                <w:sz w:val="24"/>
                <w:szCs w:val="24"/>
                <w:lang w:val="en-US" w:eastAsia="zh-CN"/>
              </w:rPr>
              <w:t>监控</w:t>
            </w:r>
            <w:r>
              <w:rPr>
                <w:rFonts w:hint="default" w:ascii="Times New Roman" w:hAnsi="Times New Roman" w:eastAsia="宋体" w:cs="Times New Roman"/>
                <w:sz w:val="24"/>
                <w:szCs w:val="24"/>
              </w:rPr>
              <w:t>浓度为</w:t>
            </w:r>
            <w:r>
              <w:rPr>
                <w:rFonts w:hint="eastAsia" w:ascii="Times New Roman" w:hAnsi="Times New Roman" w:eastAsia="宋体" w:cs="Times New Roman"/>
                <w:sz w:val="24"/>
                <w:szCs w:val="24"/>
                <w:lang w:val="en-US" w:eastAsia="zh-CN"/>
              </w:rPr>
              <w:t>1.01</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，满足《工业企业挥发性有机物排放控制标准》（DB 13/2322-2016）表2企业边界大气污染物浓度限值（非甲烷总烃：2.0mg/m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厂区内</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车间</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无组织非甲烷总烃最高排放浓度为</w:t>
            </w:r>
            <w:r>
              <w:rPr>
                <w:rFonts w:hint="eastAsia" w:ascii="Times New Roman" w:hAnsi="Times New Roman" w:eastAsia="宋体" w:cs="Times New Roman"/>
                <w:color w:val="auto"/>
                <w:sz w:val="24"/>
                <w:szCs w:val="24"/>
                <w:lang w:val="en-US" w:eastAsia="zh-CN"/>
              </w:rPr>
              <w:t>1.84</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lang w:eastAsia="zh-CN"/>
              </w:rPr>
              <w:t>满足</w:t>
            </w:r>
            <w:r>
              <w:rPr>
                <w:rFonts w:hint="default" w:ascii="Times New Roman" w:hAnsi="Times New Roman" w:eastAsia="宋体" w:cs="Times New Roman"/>
                <w:sz w:val="24"/>
                <w:szCs w:val="24"/>
              </w:rPr>
              <w:t>《工业企业挥发性有机物排放控制标准》（DB13/2322-2016）表3生产车间或生产设备边界大气污染物浓度限值（非甲烷总烃：</w:t>
            </w:r>
            <w:r>
              <w:rPr>
                <w:rFonts w:hint="default"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同时满足</w:t>
            </w:r>
            <w:r>
              <w:rPr>
                <w:rFonts w:hint="default" w:ascii="Times New Roman" w:hAnsi="Times New Roman" w:eastAsia="宋体" w:cs="Times New Roman"/>
                <w:color w:val="auto"/>
                <w:sz w:val="24"/>
                <w:szCs w:val="24"/>
              </w:rPr>
              <w:t>《挥发性有机物无组织排放控制标准》（GB37822-2019）表A.1厂区内VOC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无组织排放限值中特别排放限值（非甲烷</w:t>
            </w:r>
            <w:r>
              <w:rPr>
                <w:rFonts w:hint="default" w:ascii="Times New Roman" w:hAnsi="Times New Roman" w:eastAsia="宋体" w:cs="Times New Roman"/>
                <w:sz w:val="24"/>
                <w:szCs w:val="24"/>
              </w:rPr>
              <w:t>总烃：6mg/m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废水监测结论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污水</w:t>
            </w:r>
            <w:r>
              <w:rPr>
                <w:rFonts w:hint="default" w:ascii="Times New Roman" w:hAnsi="Times New Roman" w:eastAsia="宋体" w:cs="Times New Roman"/>
                <w:sz w:val="24"/>
                <w:szCs w:val="24"/>
                <w:lang w:val="en-US" w:eastAsia="zh-CN"/>
              </w:rPr>
              <w:t>排放口废水中化学需氧量最高日均浓度值为</w:t>
            </w:r>
            <w:r>
              <w:rPr>
                <w:rFonts w:hint="eastAsia" w:ascii="Times New Roman" w:hAnsi="Times New Roman" w:eastAsia="宋体" w:cs="Times New Roman"/>
                <w:sz w:val="24"/>
                <w:szCs w:val="24"/>
                <w:lang w:val="en-US" w:eastAsia="zh-CN"/>
              </w:rPr>
              <w:t>74</w:t>
            </w:r>
            <w:r>
              <w:rPr>
                <w:rFonts w:hint="default" w:ascii="Times New Roman" w:hAnsi="Times New Roman" w:eastAsia="宋体" w:cs="Times New Roman"/>
                <w:sz w:val="24"/>
                <w:szCs w:val="24"/>
                <w:lang w:val="en-US" w:eastAsia="zh-CN"/>
              </w:rPr>
              <w:t>mg/L，</w:t>
            </w:r>
            <w:r>
              <w:rPr>
                <w:rFonts w:hint="eastAsia" w:ascii="Times New Roman" w:hAnsi="Times New Roman" w:eastAsia="宋体" w:cs="Times New Roman"/>
                <w:sz w:val="24"/>
                <w:szCs w:val="24"/>
                <w:lang w:val="en-US" w:eastAsia="zh-CN"/>
              </w:rPr>
              <w:t>五日生化需氧量</w:t>
            </w:r>
            <w:r>
              <w:rPr>
                <w:rFonts w:hint="default" w:ascii="Times New Roman" w:hAnsi="Times New Roman" w:eastAsia="宋体" w:cs="Times New Roman"/>
                <w:sz w:val="24"/>
                <w:szCs w:val="24"/>
                <w:lang w:val="en-US" w:eastAsia="zh-CN"/>
              </w:rPr>
              <w:t>最高日均浓度值为</w:t>
            </w:r>
            <w:r>
              <w:rPr>
                <w:rFonts w:hint="eastAsia" w:ascii="Times New Roman" w:hAnsi="Times New Roman" w:eastAsia="宋体" w:cs="Times New Roman"/>
                <w:sz w:val="24"/>
                <w:szCs w:val="24"/>
                <w:lang w:val="en-US" w:eastAsia="zh-CN"/>
              </w:rPr>
              <w:t>17.1</w:t>
            </w:r>
            <w:r>
              <w:rPr>
                <w:rFonts w:hint="default" w:ascii="Times New Roman" w:hAnsi="Times New Roman" w:eastAsia="宋体" w:cs="Times New Roman"/>
                <w:sz w:val="24"/>
                <w:szCs w:val="24"/>
                <w:lang w:val="en-US" w:eastAsia="zh-CN"/>
              </w:rPr>
              <w:t>mg/L，</w:t>
            </w:r>
            <w:r>
              <w:rPr>
                <w:rFonts w:hint="default" w:ascii="Times New Roman" w:hAnsi="Times New Roman" w:eastAsia="宋体" w:cs="Times New Roman"/>
                <w:sz w:val="24"/>
                <w:szCs w:val="24"/>
                <w:lang w:val="en-US" w:eastAsia="zh-CN"/>
              </w:rPr>
              <w:t>悬浮物最高日均浓度值为</w:t>
            </w:r>
            <w:r>
              <w:rPr>
                <w:rFonts w:hint="eastAsia" w:ascii="Times New Roman" w:hAnsi="Times New Roman" w:eastAsia="宋体" w:cs="Times New Roman"/>
                <w:sz w:val="24"/>
                <w:szCs w:val="24"/>
                <w:lang w:val="en-US" w:eastAsia="zh-CN"/>
              </w:rPr>
              <w:t>62</w:t>
            </w:r>
            <w:r>
              <w:rPr>
                <w:rFonts w:hint="default" w:ascii="Times New Roman" w:hAnsi="Times New Roman" w:eastAsia="宋体" w:cs="Times New Roman"/>
                <w:sz w:val="24"/>
                <w:szCs w:val="24"/>
                <w:lang w:val="en-US" w:eastAsia="zh-CN"/>
              </w:rPr>
              <w:t>mg/L，氨氮最高日均浓度值为</w:t>
            </w:r>
            <w:r>
              <w:rPr>
                <w:rFonts w:hint="eastAsia" w:ascii="Times New Roman" w:hAnsi="Times New Roman" w:eastAsia="宋体" w:cs="Times New Roman"/>
                <w:sz w:val="24"/>
                <w:szCs w:val="24"/>
                <w:lang w:val="en-US" w:eastAsia="zh-CN"/>
              </w:rPr>
              <w:t>1.81</w:t>
            </w:r>
            <w:r>
              <w:rPr>
                <w:rFonts w:hint="default" w:ascii="Times New Roman" w:hAnsi="Times New Roman" w:eastAsia="宋体" w:cs="Times New Roman"/>
                <w:sz w:val="24"/>
                <w:szCs w:val="24"/>
                <w:lang w:val="en-US" w:eastAsia="zh-CN"/>
              </w:rPr>
              <w:t>mg/L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均满足</w:t>
            </w:r>
            <w:r>
              <w:rPr>
                <w:rFonts w:hint="eastAsia" w:ascii="Times New Roman" w:hAnsi="Times New Roman" w:eastAsia="宋体" w:cs="Times New Roman"/>
                <w:sz w:val="24"/>
                <w:szCs w:val="24"/>
                <w:lang w:val="en-US" w:eastAsia="zh-CN"/>
              </w:rPr>
              <w:t>《污水综合排放标准》（GB8978-1996）表4中三级标准及河间市泰泽工业污水处理有限公司进水水质要求</w:t>
            </w:r>
            <w:r>
              <w:rPr>
                <w:rFonts w:hint="default" w:ascii="Times New Roman" w:hAnsi="Times New Roman" w:eastAsia="宋体" w:cs="Times New Roman"/>
                <w:sz w:val="24"/>
                <w:szCs w:val="24"/>
                <w:lang w:val="en-US" w:eastAsia="zh-CN"/>
              </w:rPr>
              <w:t>（化学需氧量：</w:t>
            </w:r>
            <w:r>
              <w:rPr>
                <w:rFonts w:hint="eastAsia"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lang w:val="en-US" w:eastAsia="zh-CN"/>
              </w:rPr>
              <w:t>0mg/L，</w:t>
            </w:r>
            <w:r>
              <w:rPr>
                <w:rFonts w:hint="eastAsia" w:ascii="Times New Roman" w:hAnsi="Times New Roman" w:eastAsia="宋体" w:cs="Times New Roman"/>
                <w:sz w:val="24"/>
                <w:szCs w:val="24"/>
                <w:lang w:val="en-US" w:eastAsia="zh-CN"/>
              </w:rPr>
              <w:t>五日生化</w:t>
            </w:r>
            <w:r>
              <w:rPr>
                <w:rFonts w:hint="default" w:ascii="Times New Roman" w:hAnsi="Times New Roman" w:eastAsia="宋体" w:cs="Times New Roman"/>
                <w:sz w:val="24"/>
                <w:szCs w:val="24"/>
                <w:lang w:val="en-US" w:eastAsia="zh-CN"/>
              </w:rPr>
              <w:t>需氧量：</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0mg/L，</w:t>
            </w:r>
            <w:r>
              <w:rPr>
                <w:rFonts w:hint="default" w:ascii="Times New Roman" w:hAnsi="Times New Roman" w:eastAsia="宋体" w:cs="Times New Roman"/>
                <w:sz w:val="24"/>
                <w:szCs w:val="24"/>
                <w:lang w:val="en-US" w:eastAsia="zh-CN"/>
              </w:rPr>
              <w:t>悬浮物：</w:t>
            </w:r>
            <w:r>
              <w:rPr>
                <w:rFonts w:hint="eastAsia"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lang w:val="en-US" w:eastAsia="zh-CN"/>
              </w:rPr>
              <w:t>0mg/L，氨氮：</w:t>
            </w:r>
            <w:r>
              <w:rPr>
                <w:rFonts w:hint="eastAsia"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lang w:val="en-US" w:eastAsia="zh-CN"/>
              </w:rPr>
              <w:t>mg/L）</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4）噪声</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sz w:val="24"/>
                <w:szCs w:val="24"/>
              </w:rPr>
              <w:t>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rPr>
              <w:t>经</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eastAsia" w:ascii="Times New Roman" w:hAnsi="Times New Roman" w:eastAsia="宋体" w:cs="Times New Roman"/>
                <w:kern w:val="0"/>
                <w:sz w:val="24"/>
                <w:szCs w:val="24"/>
                <w:lang w:val="en-US" w:eastAsia="zh-CN"/>
              </w:rPr>
              <w:t>北、西</w:t>
            </w:r>
            <w:r>
              <w:rPr>
                <w:rFonts w:hint="default" w:ascii="Times New Roman" w:hAnsi="Times New Roman" w:eastAsia="宋体" w:cs="Times New Roman"/>
                <w:kern w:val="0"/>
                <w:sz w:val="24"/>
                <w:szCs w:val="24"/>
                <w:lang w:val="en-US" w:eastAsia="zh-CN"/>
              </w:rPr>
              <w:t>方向</w:t>
            </w:r>
            <w:r>
              <w:rPr>
                <w:rFonts w:hint="eastAsia" w:ascii="Times New Roman" w:hAnsi="Times New Roman" w:eastAsia="宋体" w:cs="Times New Roman"/>
                <w:kern w:val="0"/>
                <w:sz w:val="24"/>
                <w:szCs w:val="24"/>
                <w:lang w:val="en-US" w:eastAsia="zh-CN"/>
              </w:rPr>
              <w:t>各</w:t>
            </w:r>
            <w:r>
              <w:rPr>
                <w:rFonts w:hint="default" w:ascii="Times New Roman" w:hAnsi="Times New Roman" w:eastAsia="宋体" w:cs="Times New Roman"/>
                <w:kern w:val="0"/>
                <w:sz w:val="24"/>
                <w:szCs w:val="24"/>
                <w:lang w:val="en-US" w:eastAsia="zh-CN"/>
              </w:rPr>
              <w:t>设1个监测点位，各点位</w:t>
            </w:r>
            <w:r>
              <w:rPr>
                <w:rFonts w:hint="default" w:ascii="Times New Roman" w:hAnsi="Times New Roman" w:eastAsia="宋体" w:cs="Times New Roman"/>
                <w:kern w:val="0"/>
                <w:sz w:val="24"/>
                <w:szCs w:val="24"/>
              </w:rPr>
              <w:t>昼间</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夜间</w:t>
            </w:r>
            <w:r>
              <w:rPr>
                <w:rFonts w:hint="default" w:ascii="Times New Roman" w:hAnsi="Times New Roman" w:eastAsia="宋体" w:cs="Times New Roman"/>
                <w:kern w:val="0"/>
                <w:sz w:val="24"/>
                <w:szCs w:val="24"/>
              </w:rPr>
              <w:t>噪声</w:t>
            </w:r>
            <w:r>
              <w:rPr>
                <w:rFonts w:hint="default" w:ascii="Times New Roman" w:hAnsi="Times New Roman" w:eastAsia="宋体" w:cs="Times New Roman"/>
                <w:kern w:val="0"/>
                <w:sz w:val="24"/>
                <w:szCs w:val="24"/>
                <w:lang w:val="en-US" w:eastAsia="zh-CN"/>
              </w:rPr>
              <w:t>测量</w:t>
            </w:r>
            <w:r>
              <w:rPr>
                <w:rFonts w:hint="default" w:ascii="Times New Roman" w:hAnsi="Times New Roman" w:eastAsia="宋体" w:cs="Times New Roman"/>
                <w:kern w:val="0"/>
                <w:sz w:val="24"/>
                <w:szCs w:val="24"/>
              </w:rPr>
              <w:t>值</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类标准限值（昼间：</w:t>
            </w:r>
            <w:r>
              <w:rPr>
                <w:rFonts w:hint="eastAsia" w:ascii="Times New Roman" w:hAnsi="Times New Roman" w:eastAsia="宋体" w:cs="Times New Roman"/>
                <w:kern w:val="0"/>
                <w:sz w:val="24"/>
                <w:szCs w:val="24"/>
                <w:lang w:val="en-US" w:eastAsia="zh-CN"/>
              </w:rPr>
              <w:t>65dB（A），夜</w:t>
            </w:r>
            <w:r>
              <w:rPr>
                <w:rFonts w:hint="default" w:ascii="Times New Roman" w:hAnsi="Times New Roman" w:eastAsia="宋体" w:cs="Times New Roman"/>
                <w:kern w:val="0"/>
                <w:sz w:val="24"/>
                <w:szCs w:val="24"/>
              </w:rPr>
              <w:t>间：</w:t>
            </w:r>
            <w:r>
              <w:rPr>
                <w:rFonts w:hint="eastAsia" w:ascii="Times New Roman" w:hAnsi="Times New Roman" w:eastAsia="宋体" w:cs="Times New Roman"/>
                <w:kern w:val="0"/>
                <w:sz w:val="24"/>
                <w:szCs w:val="24"/>
                <w:lang w:val="en-US" w:eastAsia="zh-CN"/>
              </w:rPr>
              <w:t>55dB（A）</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厂界</w:t>
            </w:r>
            <w:r>
              <w:rPr>
                <w:rFonts w:hint="eastAsia" w:ascii="Times New Roman" w:hAnsi="Times New Roman" w:eastAsia="宋体" w:cs="Times New Roman"/>
                <w:kern w:val="0"/>
                <w:sz w:val="24"/>
                <w:szCs w:val="24"/>
                <w:lang w:val="en-US" w:eastAsia="zh-CN"/>
              </w:rPr>
              <w:t>南、东</w:t>
            </w:r>
            <w:r>
              <w:rPr>
                <w:rFonts w:hint="default" w:ascii="Times New Roman" w:hAnsi="Times New Roman" w:eastAsia="宋体" w:cs="Times New Roman"/>
                <w:kern w:val="0"/>
                <w:sz w:val="24"/>
                <w:szCs w:val="24"/>
                <w:lang w:val="en-US" w:eastAsia="zh-CN"/>
              </w:rPr>
              <w:t>方向</w:t>
            </w:r>
            <w:r>
              <w:rPr>
                <w:rFonts w:hint="eastAsia" w:ascii="Times New Roman" w:hAnsi="Times New Roman" w:eastAsia="宋体" w:cs="Times New Roman"/>
                <w:kern w:val="0"/>
                <w:sz w:val="24"/>
                <w:szCs w:val="24"/>
                <w:lang w:val="en-US" w:eastAsia="zh-CN"/>
              </w:rPr>
              <w:t>各</w:t>
            </w:r>
            <w:r>
              <w:rPr>
                <w:rFonts w:hint="default" w:ascii="Times New Roman" w:hAnsi="Times New Roman" w:eastAsia="宋体" w:cs="Times New Roman"/>
                <w:kern w:val="0"/>
                <w:sz w:val="24"/>
                <w:szCs w:val="24"/>
                <w:lang w:val="en-US" w:eastAsia="zh-CN"/>
              </w:rPr>
              <w:t>设1个监测点位，各点位</w:t>
            </w:r>
            <w:r>
              <w:rPr>
                <w:rFonts w:hint="default" w:ascii="Times New Roman" w:hAnsi="Times New Roman" w:eastAsia="宋体" w:cs="Times New Roman"/>
                <w:kern w:val="0"/>
                <w:sz w:val="24"/>
                <w:szCs w:val="24"/>
              </w:rPr>
              <w:t>昼间</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夜间</w:t>
            </w:r>
            <w:r>
              <w:rPr>
                <w:rFonts w:hint="default" w:ascii="Times New Roman" w:hAnsi="Times New Roman" w:eastAsia="宋体" w:cs="Times New Roman"/>
                <w:kern w:val="0"/>
                <w:sz w:val="24"/>
                <w:szCs w:val="24"/>
              </w:rPr>
              <w:t>噪声</w:t>
            </w:r>
            <w:r>
              <w:rPr>
                <w:rFonts w:hint="default" w:ascii="Times New Roman" w:hAnsi="Times New Roman" w:eastAsia="宋体" w:cs="Times New Roman"/>
                <w:kern w:val="0"/>
                <w:sz w:val="24"/>
                <w:szCs w:val="24"/>
                <w:lang w:val="en-US" w:eastAsia="zh-CN"/>
              </w:rPr>
              <w:t>测量</w:t>
            </w:r>
            <w:r>
              <w:rPr>
                <w:rFonts w:hint="default" w:ascii="Times New Roman" w:hAnsi="Times New Roman" w:eastAsia="宋体" w:cs="Times New Roman"/>
                <w:kern w:val="0"/>
                <w:sz w:val="24"/>
                <w:szCs w:val="24"/>
              </w:rPr>
              <w:t>值</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类标准限值（昼间：</w:t>
            </w:r>
            <w:r>
              <w:rPr>
                <w:rFonts w:hint="eastAsia" w:ascii="Times New Roman" w:hAnsi="Times New Roman" w:eastAsia="宋体" w:cs="Times New Roman"/>
                <w:kern w:val="0"/>
                <w:sz w:val="24"/>
                <w:szCs w:val="24"/>
                <w:lang w:val="en-US" w:eastAsia="zh-CN"/>
              </w:rPr>
              <w:t>70dB（A），夜</w:t>
            </w:r>
            <w:r>
              <w:rPr>
                <w:rFonts w:hint="default" w:ascii="Times New Roman" w:hAnsi="Times New Roman" w:eastAsia="宋体" w:cs="Times New Roman"/>
                <w:kern w:val="0"/>
                <w:sz w:val="24"/>
                <w:szCs w:val="24"/>
              </w:rPr>
              <w:t>间：</w:t>
            </w:r>
            <w:r>
              <w:rPr>
                <w:rFonts w:hint="eastAsia" w:ascii="Times New Roman" w:hAnsi="Times New Roman" w:eastAsia="宋体" w:cs="Times New Roman"/>
                <w:kern w:val="0"/>
                <w:sz w:val="24"/>
                <w:szCs w:val="24"/>
                <w:lang w:val="en-US" w:eastAsia="zh-CN"/>
              </w:rPr>
              <w:t>55dB（A）</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5）固废监测结论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项目产生的固体废物包括废包装袋、生产过程下脚料、不合格品、废油墨桶、废擦机布、废气治理设施产生的废活性炭、职工生活垃圾。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包装袋、项目裁切、开槽、分边、切角工序会产生废纸下脚料、不合格品分类收集后外售综合利用；废油墨桶、废擦机布、废气治理设施产生的废活性炭分别收集后暂存于厂区危废间，定期交由有资质单位处理；职工生活垃圾厂区内设置垃圾桶收集，交于环卫部门清运处置。</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总量结论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扩建后建议全厂总量控制指标为SO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：0.132t/a、NO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：0.397t/a、COD：0.120t/a、氨氮：0.011t/a，特征污染物总量控制建议指标为非甲烷总烃3.48t/a。。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实际排放污染物总量为：COD：</w:t>
            </w:r>
            <w:r>
              <w:rPr>
                <w:rFonts w:hint="eastAsia" w:ascii="Times New Roman" w:hAnsi="Times New Roman" w:eastAsia="宋体" w:cs="Times New Roman"/>
                <w:color w:val="auto"/>
                <w:sz w:val="24"/>
                <w:szCs w:val="24"/>
                <w:lang w:val="en-US" w:eastAsia="zh-CN"/>
              </w:rPr>
              <w:t>0.018</w:t>
            </w:r>
            <w:r>
              <w:rPr>
                <w:rFonts w:hint="default" w:ascii="Times New Roman" w:hAnsi="Times New Roman" w:eastAsia="宋体" w:cs="Times New Roman"/>
                <w:color w:val="auto"/>
                <w:sz w:val="24"/>
                <w:szCs w:val="24"/>
                <w:lang w:val="en-US" w:eastAsia="zh-CN"/>
              </w:rPr>
              <w:t>t/a、氨氮：</w:t>
            </w:r>
            <w:r>
              <w:rPr>
                <w:rFonts w:hint="eastAsia" w:ascii="Times New Roman" w:hAnsi="Times New Roman" w:eastAsia="宋体" w:cs="Times New Roman"/>
                <w:color w:val="auto"/>
                <w:sz w:val="24"/>
                <w:szCs w:val="24"/>
                <w:lang w:val="en-US" w:eastAsia="zh-CN"/>
              </w:rPr>
              <w:t>4.34×10</w:t>
            </w:r>
            <w:r>
              <w:rPr>
                <w:rFonts w:hint="eastAsia"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t/a、SO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：0t/a、NOx：0t/a</w:t>
            </w:r>
            <w:r>
              <w:rPr>
                <w:rFonts w:hint="eastAsia" w:ascii="Times New Roman" w:hAnsi="Times New Roman" w:eastAsia="宋体" w:cs="Times New Roman"/>
                <w:color w:val="auto"/>
                <w:sz w:val="24"/>
                <w:szCs w:val="24"/>
                <w:lang w:val="en-US" w:eastAsia="zh-CN"/>
              </w:rPr>
              <w:t>，特征污染物总量控制建议指标为非甲烷总烃：0.053t/a</w:t>
            </w:r>
            <w:r>
              <w:rPr>
                <w:rFonts w:hint="default" w:ascii="Times New Roman" w:hAnsi="Times New Roman" w:eastAsia="宋体" w:cs="Times New Roman"/>
                <w:color w:val="auto"/>
                <w:sz w:val="24"/>
                <w:szCs w:val="24"/>
                <w:lang w:val="en-US" w:eastAsia="zh-CN"/>
              </w:rPr>
              <w:t>。满足审批意见中总量控制要求。</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hint="default" w:ascii="Times New Roman" w:hAnsi="Times New Roman" w:eastAsia="宋体" w:cs="Times New Roman"/>
          <w:b/>
          <w:bCs/>
          <w:kern w:val="44"/>
          <w:sz w:val="28"/>
          <w:szCs w:val="44"/>
        </w:rPr>
      </w:pPr>
      <w:bookmarkStart w:id="15" w:name="_Toc430619021"/>
      <w:bookmarkStart w:id="16" w:name="_Toc389223940"/>
      <w:bookmarkStart w:id="17" w:name="_Toc387777077"/>
      <w:bookmarkStart w:id="18" w:name="_Toc389569108"/>
      <w:bookmarkStart w:id="19" w:name="_Toc430609243"/>
      <w:r>
        <w:rPr>
          <w:rFonts w:hint="default" w:ascii="Times New Roman" w:hAnsi="Times New Roman" w:eastAsia="宋体" w:cs="Times New Roman"/>
          <w:b/>
          <w:bCs/>
          <w:kern w:val="44"/>
          <w:sz w:val="28"/>
          <w:szCs w:val="44"/>
        </w:rPr>
        <w:t>表</w:t>
      </w:r>
      <w:r>
        <w:rPr>
          <w:rFonts w:hint="eastAsia" w:ascii="Times New Roman" w:hAnsi="Times New Roman" w:eastAsia="宋体" w:cs="Times New Roman"/>
          <w:b/>
          <w:bCs/>
          <w:kern w:val="44"/>
          <w:sz w:val="28"/>
          <w:szCs w:val="44"/>
          <w:lang w:val="en-US" w:eastAsia="zh-CN"/>
        </w:rPr>
        <w:t>六</w:t>
      </w:r>
      <w:r>
        <w:rPr>
          <w:rFonts w:hint="default" w:ascii="Times New Roman" w:hAnsi="Times New Roman" w:eastAsia="宋体" w:cs="Times New Roman"/>
          <w:b/>
          <w:bCs/>
          <w:kern w:val="44"/>
          <w:sz w:val="28"/>
          <w:szCs w:val="44"/>
        </w:rPr>
        <w:t xml:space="preserve"> 验收监测质量控制</w:t>
      </w:r>
      <w:bookmarkEnd w:id="15"/>
    </w:p>
    <w:p>
      <w:pPr>
        <w:rPr>
          <w:rFonts w:hint="default" w:ascii="Times New Roman" w:hAnsi="Times New Roman" w:eastAsia="宋体" w:cs="Times New Roman"/>
        </w:rPr>
      </w:pPr>
      <w:r>
        <w:rPr>
          <w:rFonts w:hint="default" w:ascii="Times New Roman" w:hAnsi="Times New Roman" w:eastAsia="宋体" w:cs="Times New Roman"/>
          <w:b/>
          <w:bCs/>
          <w:kern w:val="44"/>
          <w:sz w:val="28"/>
          <w:szCs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104140</wp:posOffset>
                </wp:positionV>
                <wp:extent cx="5890895" cy="8251190"/>
                <wp:effectExtent l="4445" t="4445" r="10160" b="12065"/>
                <wp:wrapTopAndBottom/>
                <wp:docPr id="1" name="文本框 3"/>
                <wp:cNvGraphicFramePr/>
                <a:graphic xmlns:a="http://schemas.openxmlformats.org/drawingml/2006/main">
                  <a:graphicData uri="http://schemas.microsoft.com/office/word/2010/wordprocessingShape">
                    <wps:wsp>
                      <wps:cNvSpPr txBox="1"/>
                      <wps:spPr>
                        <a:xfrm>
                          <a:off x="0" y="0"/>
                          <a:ext cx="5890895" cy="82511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4、废水监测</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水监测仪器符合国家有关标准或技术要求。采样、运输、保存、分析全过程严格按照《地表水和污水监测技术规范》和《环境水质监测质量保证手册（第二版）》规定执行。质控采用质控样品或平行双样等，达到每批分析样品量的10%以上，且质控数据合格。</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wps:txbx>
                      <wps:bodyPr upright="1"/>
                    </wps:wsp>
                  </a:graphicData>
                </a:graphic>
              </wp:anchor>
            </w:drawing>
          </mc:Choice>
          <mc:Fallback>
            <w:pict>
              <v:shape id="文本框 3" o:spid="_x0000_s1026" o:spt="202" type="#_x0000_t202" style="position:absolute;left:0pt;margin-left:-1.2pt;margin-top:8.2pt;height:649.7pt;width:463.85pt;mso-wrap-distance-bottom:0pt;mso-wrap-distance-top:0pt;z-index:251659264;mso-width-relative:page;mso-height-relative:page;" filled="f" stroked="t" coordsize="21600,21600" o:gfxdata="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EN1r2gAAAAoBAAAPAAAAAAAAAAEAIAAAACIA&#10;AABkcnMvZG93bnJldi54bWxQSwECFAAUAAAACACHTuJAvjA1yQcCAAAOBAAADgAAAAAAAAABACAA&#10;AAApAQAAZHJzL2Uyb0RvYy54bWxQSwUGAAAAAAYABgBZAQAAo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4、废水监测</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水监测仪器符合国家有关标准或技术要求。采样、运输、保存、分析全过程严格按照《地表水和污水监测技术规范》和《环境水质监测质量保证手册（第二版）》规定执行。质控采用质控样品或平行双样等，达到每批分析样品量的10%以上，且质控数据合格。</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v:textbox>
                <w10:wrap type="topAndBottom"/>
              </v:shape>
            </w:pict>
          </mc:Fallback>
        </mc:AlternateContent>
      </w:r>
    </w:p>
    <w:bookmarkEnd w:id="16"/>
    <w:bookmarkEnd w:id="17"/>
    <w:bookmarkEnd w:id="18"/>
    <w:bookmarkEnd w:id="19"/>
    <w:p>
      <w:pPr>
        <w:rPr>
          <w:rFonts w:hint="default" w:ascii="Times New Roman" w:hAnsi="Times New Roman" w:eastAsia="宋体" w:cs="Times New Roman"/>
        </w:rPr>
        <w:sectPr>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建设项目工程竣工环境保护“三同时”验收登记表</w:t>
      </w:r>
    </w:p>
    <w:tbl>
      <w:tblPr>
        <w:tblStyle w:val="21"/>
        <w:tblW w:w="16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43"/>
        <w:gridCol w:w="1126"/>
        <w:gridCol w:w="1011"/>
        <w:gridCol w:w="22"/>
        <w:gridCol w:w="1205"/>
        <w:gridCol w:w="237"/>
        <w:gridCol w:w="116"/>
        <w:gridCol w:w="901"/>
        <w:gridCol w:w="331"/>
        <w:gridCol w:w="285"/>
        <w:gridCol w:w="404"/>
        <w:gridCol w:w="567"/>
        <w:gridCol w:w="369"/>
        <w:gridCol w:w="742"/>
        <w:gridCol w:w="1082"/>
        <w:gridCol w:w="1286"/>
        <w:gridCol w:w="1099"/>
        <w:gridCol w:w="1232"/>
        <w:gridCol w:w="339"/>
        <w:gridCol w:w="464"/>
        <w:gridCol w:w="676"/>
        <w:gridCol w:w="4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restart"/>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 设 项 目</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项目名称</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包装制品生产项目</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建设地点</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河间市尊祖庄开发区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行业类别</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C2231纸和纸板容器制造</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建设性质</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新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改 建      </w:t>
            </w:r>
            <w:r>
              <w:rPr>
                <w:rFonts w:hint="default" w:ascii="Times New Roman" w:hAnsi="Times New Roman" w:eastAsia="宋体" w:cs="Times New Roman"/>
                <w:b/>
                <w:bCs w:val="0"/>
                <w:sz w:val="15"/>
                <w:szCs w:val="15"/>
                <w:lang w:val="en-US" w:eastAsia="zh-CN"/>
              </w:rPr>
              <w:sym w:font="Wingdings 2" w:char="0052"/>
            </w:r>
            <w:r>
              <w:rPr>
                <w:rFonts w:hint="default" w:ascii="Times New Roman" w:hAnsi="Times New Roman" w:eastAsia="宋体" w:cs="Times New Roman"/>
                <w:b/>
                <w:bCs w:val="0"/>
                <w:sz w:val="15"/>
                <w:szCs w:val="15"/>
                <w:lang w:val="en-US" w:eastAsia="zh-CN"/>
              </w:rPr>
              <w:t xml:space="preserve">扩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技 术 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设计生产能力</w:t>
            </w:r>
          </w:p>
        </w:tc>
        <w:tc>
          <w:tcPr>
            <w:tcW w:w="2591" w:type="dxa"/>
            <w:gridSpan w:val="5"/>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年产纸箱9000万平方米</w:t>
            </w:r>
          </w:p>
        </w:tc>
        <w:tc>
          <w:tcPr>
            <w:tcW w:w="151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建设项目开工日期</w:t>
            </w:r>
          </w:p>
        </w:tc>
        <w:tc>
          <w:tcPr>
            <w:tcW w:w="13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实际生产能力</w:t>
            </w:r>
          </w:p>
        </w:tc>
        <w:tc>
          <w:tcPr>
            <w:tcW w:w="238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年产纸箱4500万平方米</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投入试运行日期</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投资总概算（万元）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25000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环保投资总概算（万元）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200</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环评审批部门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河间市行政审批局</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color w:val="0000FF"/>
                <w:sz w:val="15"/>
                <w:szCs w:val="15"/>
                <w:lang w:val="en-US" w:eastAsia="zh-CN"/>
              </w:rPr>
            </w:pPr>
            <w:r>
              <w:rPr>
                <w:rFonts w:hint="eastAsia" w:ascii="Times New Roman" w:hAnsi="Times New Roman" w:eastAsia="宋体" w:cs="Times New Roman"/>
                <w:b/>
                <w:bCs w:val="0"/>
                <w:sz w:val="15"/>
                <w:szCs w:val="15"/>
                <w:lang w:val="en-US" w:eastAsia="zh-CN"/>
              </w:rPr>
              <w:t>河审批（环评-表）[2023]第9号</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color w:val="auto"/>
                <w:sz w:val="15"/>
                <w:szCs w:val="15"/>
                <w:lang w:val="en-US" w:eastAsia="zh-CN"/>
              </w:rPr>
              <w:t>2023年02月03日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初步设计审批部门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环保验收审批部门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环保设施设计单位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环保设施施工单位</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环保设施监测单位</w:t>
            </w:r>
          </w:p>
        </w:tc>
        <w:tc>
          <w:tcPr>
            <w:tcW w:w="380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河北金亿嘉环境监测技术服务有限公司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实际总投资（万元）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14000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实际环保投资（万元）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200</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废水治理（万元）</w:t>
            </w:r>
          </w:p>
        </w:tc>
        <w:tc>
          <w:tcPr>
            <w:tcW w:w="101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废气治理</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（万元）</w:t>
            </w:r>
          </w:p>
        </w:tc>
        <w:tc>
          <w:tcPr>
            <w:tcW w:w="12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噪声治理（万元）</w:t>
            </w:r>
          </w:p>
        </w:tc>
        <w:tc>
          <w:tcPr>
            <w:tcW w:w="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固废治理（万元）</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绿化及生态（万元）</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其它（万元）</w:t>
            </w:r>
          </w:p>
        </w:tc>
        <w:tc>
          <w:tcPr>
            <w:tcW w:w="10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新增废水处理设施能力</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t/d</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新增废气处理设施能力</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Nm</w:t>
            </w:r>
            <w:r>
              <w:rPr>
                <w:rFonts w:hint="default" w:ascii="Times New Roman" w:hAnsi="Times New Roman" w:eastAsia="宋体" w:cs="Times New Roman"/>
                <w:b/>
                <w:bCs w:val="0"/>
                <w:sz w:val="15"/>
                <w:szCs w:val="15"/>
                <w:vertAlign w:val="superscript"/>
                <w:lang w:val="en-US" w:eastAsia="zh-CN"/>
              </w:rPr>
              <w:t>3</w:t>
            </w:r>
            <w:r>
              <w:rPr>
                <w:rFonts w:hint="default" w:ascii="Times New Roman" w:hAnsi="Times New Roman" w:eastAsia="宋体" w:cs="Times New Roman"/>
                <w:b/>
                <w:bCs w:val="0"/>
                <w:sz w:val="15"/>
                <w:szCs w:val="15"/>
                <w:lang w:val="en-US" w:eastAsia="zh-CN"/>
              </w:rPr>
              <w:t>/h</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工作时间</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48</w:t>
            </w:r>
            <w:r>
              <w:rPr>
                <w:rFonts w:hint="default" w:ascii="Times New Roman" w:hAnsi="Times New Roman" w:eastAsia="宋体" w:cs="Times New Roman"/>
                <w:b/>
                <w:bCs w:val="0"/>
                <w:sz w:val="15"/>
                <w:szCs w:val="15"/>
                <w:lang w:val="en-US" w:eastAsia="zh-CN"/>
              </w:rPr>
              <w:t>00h/a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79"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建设单位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河北军锋鑫诚纸制品有限公司</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邮政编码</w:t>
            </w:r>
          </w:p>
        </w:tc>
        <w:tc>
          <w:tcPr>
            <w:tcW w:w="162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06</w:t>
            </w:r>
            <w:r>
              <w:rPr>
                <w:rFonts w:hint="eastAsia" w:ascii="Times New Roman" w:hAnsi="Times New Roman" w:eastAsia="宋体" w:cs="Times New Roman"/>
                <w:b/>
                <w:bCs w:val="0"/>
                <w:sz w:val="15"/>
                <w:szCs w:val="15"/>
                <w:lang w:val="en-US" w:eastAsia="zh-CN"/>
              </w:rPr>
              <w:t>2450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联系电话</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15131726725</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环评单位</w:t>
            </w:r>
          </w:p>
        </w:tc>
        <w:tc>
          <w:tcPr>
            <w:tcW w:w="2572"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610" w:type="dxa"/>
            <w:vMerge w:val="restart"/>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pacing w:val="20"/>
                <w:sz w:val="15"/>
                <w:szCs w:val="15"/>
              </w:rPr>
              <w:t>污染物排放达标与总量控制（工业建设项目详填）</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污染物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原有排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 xml:space="preserve">放量(1) </w:t>
            </w: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(2)</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本期工程允许排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放浓度(3)</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本期工程产生量(4)</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本期工程自身削减量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(5)</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本期工程实际排放量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(6)</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本期工程核定排放总量(7)</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本期工程“以新带老”削减量(8)</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全厂实际排放总量(9)</w:t>
            </w: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全厂核定排放总量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(10)</w:t>
            </w: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区域平衡替代削减量</w:t>
            </w:r>
          </w:p>
          <w:p>
            <w:pPr>
              <w:keepNext w:val="0"/>
              <w:keepLines w:val="0"/>
              <w:pageBreakBefore w:val="0"/>
              <w:widowControl w:val="0"/>
              <w:kinsoku/>
              <w:wordWrap/>
              <w:overflowPunct/>
              <w:topLinePunct w:val="0"/>
              <w:autoSpaceDE/>
              <w:autoSpaceDN/>
              <w:bidi w:val="0"/>
              <w:adjustRightInd w:val="0"/>
              <w:snapToGrid w:val="0"/>
              <w:spacing w:line="200" w:lineRule="exact"/>
              <w:ind w:firstLine="75" w:firstLineChars="50"/>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(11)</w:t>
            </w: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废水</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240</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240</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化学需氧量</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74</w:t>
            </w: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500</w:t>
            </w: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0.018</w:t>
            </w: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sz w:val="15"/>
                <w:szCs w:val="15"/>
                <w:lang w:val="en-US" w:eastAsia="zh-CN"/>
              </w:rPr>
              <w:t>0.018</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氨氮</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1.81</w:t>
            </w: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45</w:t>
            </w: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4.34×10</w:t>
            </w:r>
            <w:r>
              <w:rPr>
                <w:rFonts w:hint="eastAsia" w:ascii="Times New Roman" w:hAnsi="Times New Roman" w:eastAsia="宋体" w:cs="Times New Roman"/>
                <w:b/>
                <w:bCs w:val="0"/>
                <w:sz w:val="15"/>
                <w:szCs w:val="15"/>
                <w:vertAlign w:val="superscript"/>
                <w:lang w:val="en-US" w:eastAsia="zh-CN"/>
              </w:rPr>
              <w:t>-4</w:t>
            </w: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sz w:val="15"/>
                <w:szCs w:val="15"/>
                <w:lang w:val="en-US" w:eastAsia="zh-CN"/>
              </w:rPr>
              <w:t>4.34×10</w:t>
            </w:r>
            <w:r>
              <w:rPr>
                <w:rFonts w:hint="eastAsia" w:ascii="Times New Roman" w:hAnsi="Times New Roman" w:eastAsia="宋体" w:cs="Times New Roman"/>
                <w:b/>
                <w:bCs w:val="0"/>
                <w:sz w:val="15"/>
                <w:szCs w:val="15"/>
                <w:vertAlign w:val="superscript"/>
                <w:lang w:val="en-US" w:eastAsia="zh-CN"/>
              </w:rPr>
              <w:t>-4</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rPr>
              <w:t>废气</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1641</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1641</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r>
              <w:rPr>
                <w:rFonts w:hint="default" w:ascii="Times New Roman" w:hAnsi="Times New Roman" w:eastAsia="宋体" w:cs="Times New Roman"/>
                <w:b/>
                <w:bCs w:val="0"/>
                <w:sz w:val="15"/>
                <w:szCs w:val="15"/>
                <w:lang w:val="en-US" w:eastAsia="zh-CN"/>
              </w:rPr>
              <w:t>颗粒物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二氧化硫</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lang w:val="en-US" w:eastAsia="zh-CN"/>
              </w:rPr>
              <w:t>氮氧化物</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rPr>
              <w:t>非甲烷总烃</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3.51</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50</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0.053</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0.053</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restart"/>
            <w:textDirection w:val="tbLrV"/>
            <w:vAlign w:val="top"/>
          </w:tcPr>
          <w:p>
            <w:pPr>
              <w:keepNext w:val="0"/>
              <w:keepLines w:val="0"/>
              <w:pageBreakBefore w:val="0"/>
              <w:widowControl w:val="0"/>
              <w:kinsoku/>
              <w:wordWrap/>
              <w:overflowPunct/>
              <w:topLinePunct w:val="0"/>
              <w:autoSpaceDE/>
              <w:autoSpaceDN/>
              <w:bidi w:val="0"/>
              <w:snapToGrid w:val="0"/>
              <w:spacing w:line="200" w:lineRule="exact"/>
              <w:ind w:left="113" w:right="113"/>
              <w:jc w:val="both"/>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与项目有关的其它特征污染物</w:t>
            </w: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氯化氢</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bl>
    <w:p>
      <w:pPr>
        <w:adjustRightInd w:val="0"/>
        <w:snapToGrid w:val="0"/>
        <w:ind w:leftChars="-50" w:hanging="105" w:hangingChars="70"/>
        <w:rPr>
          <w:rFonts w:hint="default" w:ascii="Times New Roman" w:hAnsi="Times New Roman" w:eastAsia="宋体" w:cs="Times New Roman"/>
          <w:sz w:val="15"/>
          <w:szCs w:val="15"/>
        </w:rPr>
      </w:pPr>
      <w:r>
        <w:rPr>
          <w:rFonts w:hint="default" w:ascii="Times New Roman" w:hAnsi="Times New Roman" w:eastAsia="宋体" w:cs="Times New Roman"/>
          <w:b/>
          <w:sz w:val="15"/>
          <w:szCs w:val="15"/>
        </w:rPr>
        <w:t>注</w:t>
      </w:r>
      <w:r>
        <w:rPr>
          <w:rFonts w:hint="default" w:ascii="Times New Roman" w:hAnsi="Times New Roman" w:eastAsia="宋体" w:cs="Times New Roman"/>
          <w:sz w:val="15"/>
          <w:szCs w:val="15"/>
        </w:rPr>
        <w:t>：1、排放增减量：（+）表示增加，（-）表示减少    2、(12)=(6)-(8)-(11)，（9）= (4)-(5)-(8)- (11) +（1）</w:t>
      </w:r>
    </w:p>
    <w:p>
      <w:pPr>
        <w:adjustRightInd w:val="0"/>
        <w:snapToGrid w:val="0"/>
        <w:ind w:left="-29" w:leftChars="-14" w:firstLine="225" w:firstLineChars="150"/>
        <w:rPr>
          <w:rFonts w:hint="default" w:ascii="Times New Roman" w:hAnsi="Times New Roman" w:eastAsia="宋体" w:cs="Times New Roman"/>
        </w:rPr>
      </w:pPr>
      <w:r>
        <w:rPr>
          <w:rFonts w:hint="default" w:ascii="Times New Roman" w:hAnsi="Times New Roman" w:eastAsia="宋体" w:cs="Times New Roman"/>
          <w:sz w:val="15"/>
          <w:szCs w:val="15"/>
        </w:rPr>
        <w:t>3、计量单位：废水排放量—万吨/年；废气排放量—万标立方米/年；工业固体废物排放量—万吨/年； 水污染物排放浓度—毫克/升；大气污染物排放浓度—毫克/立方米；水污染物排放量—吨/年；大气污染物排放量—吨/年</w:t>
      </w:r>
    </w:p>
    <w:p>
      <w:pPr>
        <w:rPr>
          <w:rFonts w:hint="default" w:ascii="Times New Roman" w:hAnsi="Times New Roman" w:eastAsia="宋体" w:cs="Times New Roman"/>
          <w:b/>
          <w:bCs/>
          <w:sz w:val="28"/>
          <w:szCs w:val="32"/>
          <w:lang w:eastAsia="zh-CN"/>
        </w:rPr>
        <w:sectPr>
          <w:headerReference r:id="rId6" w:type="default"/>
          <w:endnotePr>
            <w:numFmt w:val="decimal"/>
          </w:endnotePr>
          <w:pgSz w:w="16840" w:h="11907" w:orient="landscape"/>
          <w:pgMar w:top="850" w:right="1418" w:bottom="567" w:left="1418" w:header="340" w:footer="539" w:gutter="0"/>
          <w:pgBorders>
            <w:top w:val="none" w:sz="0" w:space="0"/>
            <w:left w:val="none" w:sz="0" w:space="0"/>
            <w:bottom w:val="none" w:sz="0" w:space="0"/>
            <w:right w:val="none" w:sz="0" w:space="0"/>
          </w:pgBorders>
          <w:pgNumType w:fmt="decimal"/>
          <w:cols w:space="720" w:num="1"/>
          <w:rtlGutter w:val="0"/>
          <w:docGrid w:linePitch="312" w:charSpace="0"/>
        </w:sectPr>
      </w:pPr>
    </w:p>
    <w:p>
      <w:pPr>
        <w:pStyle w:val="7"/>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宋体" w:cs="Times New Roman"/>
          <w:b/>
          <w:bCs/>
          <w:sz w:val="28"/>
          <w:szCs w:val="32"/>
          <w:lang w:val="en-US" w:eastAsia="zh-CN"/>
        </w:rPr>
      </w:pPr>
      <w:r>
        <w:rPr>
          <w:rFonts w:hint="default" w:ascii="Times New Roman" w:hAnsi="Times New Roman" w:eastAsia="宋体" w:cs="Times New Roman"/>
          <w:b/>
          <w:bCs/>
          <w:sz w:val="28"/>
          <w:szCs w:val="32"/>
          <w:lang w:eastAsia="zh-CN"/>
        </w:rPr>
        <w:t>附件</w:t>
      </w:r>
      <w:r>
        <w:rPr>
          <w:rFonts w:hint="default" w:ascii="Times New Roman" w:hAnsi="Times New Roman" w:eastAsia="宋体" w:cs="Times New Roman"/>
          <w:b/>
          <w:bCs/>
          <w:sz w:val="28"/>
          <w:szCs w:val="32"/>
          <w:lang w:val="en-US" w:eastAsia="zh-CN"/>
        </w:rPr>
        <w:t>1  审批意见</w:t>
      </w:r>
    </w:p>
    <w:p>
      <w:pPr>
        <w:rPr>
          <w:rFonts w:hint="default" w:ascii="Times New Roman" w:hAnsi="Times New Roman" w:eastAsia="宋体" w:cs="Times New Roman"/>
          <w:b/>
          <w:bCs/>
          <w:sz w:val="28"/>
          <w:szCs w:val="32"/>
          <w:lang w:val="en-US"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596900</wp:posOffset>
            </wp:positionH>
            <wp:positionV relativeFrom="paragraph">
              <wp:posOffset>158115</wp:posOffset>
            </wp:positionV>
            <wp:extent cx="5269865" cy="7247255"/>
            <wp:effectExtent l="0" t="0" r="6985" b="10795"/>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7"/>
                  </pic:blipFill>
                  <pic:spPr>
                    <a:xfrm>
                      <a:off x="0" y="0"/>
                      <a:ext cx="5269865" cy="7247255"/>
                    </a:xfrm>
                    <a:prstGeom prst="rect">
                      <a:avLst/>
                    </a:prstGeom>
                  </pic:spPr>
                </pic:pic>
              </a:graphicData>
            </a:graphic>
          </wp:anchor>
        </w:drawing>
      </w:r>
      <w:r>
        <w:rPr>
          <w:rFonts w:hint="default" w:ascii="Times New Roman" w:hAnsi="Times New Roman" w:eastAsia="宋体" w:cs="Times New Roman"/>
          <w:b/>
          <w:bCs/>
          <w:sz w:val="28"/>
          <w:szCs w:val="32"/>
          <w:lang w:val="en-US" w:eastAsia="zh-CN"/>
        </w:rPr>
        <w:br w:type="page"/>
      </w:r>
    </w:p>
    <w:p>
      <w:pPr>
        <w:pStyle w:val="6"/>
        <w:rPr>
          <w:rFonts w:hint="default"/>
          <w:lang w:val="en-US"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631190</wp:posOffset>
            </wp:positionH>
            <wp:positionV relativeFrom="paragraph">
              <wp:posOffset>643255</wp:posOffset>
            </wp:positionV>
            <wp:extent cx="5269865" cy="7247255"/>
            <wp:effectExtent l="0" t="0" r="6985" b="1079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8"/>
                  </pic:blipFill>
                  <pic:spPr>
                    <a:xfrm>
                      <a:off x="0" y="0"/>
                      <a:ext cx="5269865" cy="7247255"/>
                    </a:xfrm>
                    <a:prstGeom prst="rect">
                      <a:avLst/>
                    </a:prstGeom>
                  </pic:spPr>
                </pic:pic>
              </a:graphicData>
            </a:graphic>
          </wp:anchor>
        </w:drawing>
      </w:r>
    </w:p>
    <w:sectPr>
      <w:headerReference r:id="rId7" w:type="default"/>
      <w:endnotePr>
        <w:numFmt w:val="decimal"/>
      </w:endnotePr>
      <w:pgSz w:w="11907" w:h="16840"/>
      <w:pgMar w:top="1418" w:right="567" w:bottom="1418" w:left="850" w:header="340" w:footer="539"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10609000101010101"/>
    <w:charset w:val="88"/>
    <w:family w:val="modern"/>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color w:val="auto"/>
        <w:u w:val="none"/>
      </w:rPr>
    </w:pPr>
    <w:r>
      <w:rPr>
        <w:color w:val="auto"/>
        <w:sz w:val="18"/>
        <w:u w:val="non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13</w:t>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13</w:t>
                    </w:r>
                    <w:r>
                      <w:rPr>
                        <w:rFonts w:hint="default" w:ascii="Times New Roman" w:hAnsi="Times New Roman" w:cs="Times New Roman"/>
                        <w:lang w:eastAsia="zh-CN"/>
                      </w:rPr>
                      <w:t xml:space="preserve"> 页</w:t>
                    </w:r>
                  </w:p>
                </w:txbxContent>
              </v:textbox>
            </v:shape>
          </w:pict>
        </mc:Fallback>
      </mc:AlternateContent>
    </w:r>
    <w:r>
      <w:rPr>
        <w:rFonts w:hint="default" w:ascii="Times New Roman" w:hAnsi="Times New Roman" w:cs="Times New Roman"/>
        <w:color w:val="auto"/>
        <w:sz w:val="18"/>
        <w:szCs w:val="18"/>
        <w:u w:val="none"/>
      </w:rPr>
      <w:t>报告编号：</w:t>
    </w:r>
    <w:r>
      <w:rPr>
        <w:rFonts w:hint="eastAsia" w:ascii="Times New Roman" w:hAnsi="Times New Roman" w:cs="Times New Roman"/>
        <w:color w:val="auto"/>
        <w:sz w:val="18"/>
        <w:szCs w:val="18"/>
        <w:u w:val="none"/>
        <w:lang w:eastAsia="zh-CN"/>
      </w:rPr>
      <w:t>金环测字第</w:t>
    </w:r>
    <w:r>
      <w:rPr>
        <w:rFonts w:hint="eastAsia" w:ascii="Times New Roman" w:hAnsi="Times New Roman" w:cs="Times New Roman"/>
        <w:color w:val="auto"/>
        <w:sz w:val="18"/>
        <w:szCs w:val="18"/>
        <w:u w:val="none"/>
        <w:lang w:val="en-US" w:eastAsia="zh-CN"/>
      </w:rPr>
      <w:t>2023070302</w:t>
    </w:r>
    <w:r>
      <w:rPr>
        <w:rFonts w:hint="eastAsia" w:ascii="Times New Roman" w:hAnsi="Times New Roman" w:cs="Times New Roman"/>
        <w:color w:val="auto"/>
        <w:sz w:val="18"/>
        <w:szCs w:val="18"/>
        <w:u w:val="none"/>
        <w:lang w:eastAsia="zh-CN"/>
      </w:rPr>
      <w:t>-2号</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sz w:val="18"/>
        <w:szCs w:val="18"/>
        <w:u w:val="none"/>
        <w:lang w:val="en-US" w:eastAsia="zh-CN"/>
      </w:rPr>
      <w:t xml:space="preserve">            </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27ABA"/>
    <w:multiLevelType w:val="singleLevel"/>
    <w:tmpl w:val="B2727ABA"/>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BD4789ED"/>
    <w:multiLevelType w:val="singleLevel"/>
    <w:tmpl w:val="BD4789ED"/>
    <w:lvl w:ilvl="0" w:tentative="0">
      <w:start w:val="1"/>
      <w:numFmt w:val="decimal"/>
      <w:suff w:val="nothing"/>
      <w:lvlText w:val="%1、"/>
      <w:lvlJc w:val="left"/>
    </w:lvl>
  </w:abstractNum>
  <w:abstractNum w:abstractNumId="2">
    <w:nsid w:val="59A7FBF5"/>
    <w:multiLevelType w:val="singleLevel"/>
    <w:tmpl w:val="59A7FBF5"/>
    <w:lvl w:ilvl="0" w:tentative="0">
      <w:start w:val="1"/>
      <w:numFmt w:val="low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mU5ZjY4ZDNjNjM0Zjc0OWEyY2I3YTM1ZWQwYzMifQ=="/>
  </w:docVars>
  <w:rsids>
    <w:rsidRoot w:val="00172A27"/>
    <w:rsid w:val="0003507C"/>
    <w:rsid w:val="000F61EA"/>
    <w:rsid w:val="00122247"/>
    <w:rsid w:val="00160516"/>
    <w:rsid w:val="00173CB6"/>
    <w:rsid w:val="001F3B9D"/>
    <w:rsid w:val="001F7994"/>
    <w:rsid w:val="0023094C"/>
    <w:rsid w:val="002A7408"/>
    <w:rsid w:val="003045CF"/>
    <w:rsid w:val="0047666A"/>
    <w:rsid w:val="00574854"/>
    <w:rsid w:val="006D00FA"/>
    <w:rsid w:val="006F4745"/>
    <w:rsid w:val="007F3047"/>
    <w:rsid w:val="008D7550"/>
    <w:rsid w:val="00A9031C"/>
    <w:rsid w:val="00AC225E"/>
    <w:rsid w:val="00B1387E"/>
    <w:rsid w:val="00B4069B"/>
    <w:rsid w:val="00EC0440"/>
    <w:rsid w:val="00F84C0C"/>
    <w:rsid w:val="010909F2"/>
    <w:rsid w:val="01140055"/>
    <w:rsid w:val="011D3605"/>
    <w:rsid w:val="0122231E"/>
    <w:rsid w:val="01222857"/>
    <w:rsid w:val="01344AD4"/>
    <w:rsid w:val="01382A88"/>
    <w:rsid w:val="01404B4E"/>
    <w:rsid w:val="01494BFD"/>
    <w:rsid w:val="015B13AE"/>
    <w:rsid w:val="015C6ADB"/>
    <w:rsid w:val="01667882"/>
    <w:rsid w:val="01951D3B"/>
    <w:rsid w:val="01A157E8"/>
    <w:rsid w:val="01A33E07"/>
    <w:rsid w:val="01A74C52"/>
    <w:rsid w:val="01E00067"/>
    <w:rsid w:val="01F246B9"/>
    <w:rsid w:val="020C441B"/>
    <w:rsid w:val="020E65EF"/>
    <w:rsid w:val="0216420C"/>
    <w:rsid w:val="021F23CE"/>
    <w:rsid w:val="021F7B15"/>
    <w:rsid w:val="022B1F45"/>
    <w:rsid w:val="022E1342"/>
    <w:rsid w:val="024702C5"/>
    <w:rsid w:val="024B5057"/>
    <w:rsid w:val="025E487D"/>
    <w:rsid w:val="02621396"/>
    <w:rsid w:val="02632FA6"/>
    <w:rsid w:val="026F7F35"/>
    <w:rsid w:val="02762755"/>
    <w:rsid w:val="028B4197"/>
    <w:rsid w:val="02CB1495"/>
    <w:rsid w:val="02D06108"/>
    <w:rsid w:val="02D67E80"/>
    <w:rsid w:val="02E55A1C"/>
    <w:rsid w:val="02F03DC9"/>
    <w:rsid w:val="03040A5E"/>
    <w:rsid w:val="03083887"/>
    <w:rsid w:val="030E79D9"/>
    <w:rsid w:val="031111FA"/>
    <w:rsid w:val="03324D2D"/>
    <w:rsid w:val="0337268B"/>
    <w:rsid w:val="03401651"/>
    <w:rsid w:val="03793B1F"/>
    <w:rsid w:val="037B088B"/>
    <w:rsid w:val="037B5409"/>
    <w:rsid w:val="037F3800"/>
    <w:rsid w:val="03871A67"/>
    <w:rsid w:val="039F07D9"/>
    <w:rsid w:val="03A06584"/>
    <w:rsid w:val="03A84543"/>
    <w:rsid w:val="03C968FC"/>
    <w:rsid w:val="03CB3CDA"/>
    <w:rsid w:val="03CF0F64"/>
    <w:rsid w:val="03D23F50"/>
    <w:rsid w:val="03E34933"/>
    <w:rsid w:val="03EE28B7"/>
    <w:rsid w:val="04130EC6"/>
    <w:rsid w:val="04152CB9"/>
    <w:rsid w:val="042E70A1"/>
    <w:rsid w:val="043A5B07"/>
    <w:rsid w:val="043B30E1"/>
    <w:rsid w:val="04413F8F"/>
    <w:rsid w:val="044A6D67"/>
    <w:rsid w:val="044C290C"/>
    <w:rsid w:val="048336DF"/>
    <w:rsid w:val="04A10B67"/>
    <w:rsid w:val="04A9722A"/>
    <w:rsid w:val="04B14467"/>
    <w:rsid w:val="04BA7457"/>
    <w:rsid w:val="04C15D69"/>
    <w:rsid w:val="04C270A8"/>
    <w:rsid w:val="04D24CB7"/>
    <w:rsid w:val="04DA06ED"/>
    <w:rsid w:val="04F970D4"/>
    <w:rsid w:val="04FB562B"/>
    <w:rsid w:val="05022DA3"/>
    <w:rsid w:val="05227C13"/>
    <w:rsid w:val="05323035"/>
    <w:rsid w:val="0537560E"/>
    <w:rsid w:val="05404B3A"/>
    <w:rsid w:val="054701B7"/>
    <w:rsid w:val="055523A0"/>
    <w:rsid w:val="056E5663"/>
    <w:rsid w:val="057020E4"/>
    <w:rsid w:val="0571614B"/>
    <w:rsid w:val="057776BA"/>
    <w:rsid w:val="0579587C"/>
    <w:rsid w:val="05897CE4"/>
    <w:rsid w:val="058F6BA2"/>
    <w:rsid w:val="059034F1"/>
    <w:rsid w:val="05977D20"/>
    <w:rsid w:val="05AB359E"/>
    <w:rsid w:val="05B22DB9"/>
    <w:rsid w:val="05C02322"/>
    <w:rsid w:val="05C360E8"/>
    <w:rsid w:val="05E2226D"/>
    <w:rsid w:val="05E80300"/>
    <w:rsid w:val="05F161DB"/>
    <w:rsid w:val="05FC2374"/>
    <w:rsid w:val="06077C3C"/>
    <w:rsid w:val="060A7436"/>
    <w:rsid w:val="060F2A9C"/>
    <w:rsid w:val="061504DD"/>
    <w:rsid w:val="06275ADC"/>
    <w:rsid w:val="062B7185"/>
    <w:rsid w:val="062D0991"/>
    <w:rsid w:val="062D4C7D"/>
    <w:rsid w:val="06334D77"/>
    <w:rsid w:val="06452248"/>
    <w:rsid w:val="064D5A06"/>
    <w:rsid w:val="065E63E1"/>
    <w:rsid w:val="06604385"/>
    <w:rsid w:val="06671F60"/>
    <w:rsid w:val="066E7A45"/>
    <w:rsid w:val="067079B5"/>
    <w:rsid w:val="067775E7"/>
    <w:rsid w:val="068D38C1"/>
    <w:rsid w:val="06B02E38"/>
    <w:rsid w:val="06C02450"/>
    <w:rsid w:val="06C50533"/>
    <w:rsid w:val="06D57E0A"/>
    <w:rsid w:val="06D648B8"/>
    <w:rsid w:val="06DC41A0"/>
    <w:rsid w:val="06EC6F49"/>
    <w:rsid w:val="06EE10BB"/>
    <w:rsid w:val="06F24264"/>
    <w:rsid w:val="0701395F"/>
    <w:rsid w:val="07045E4D"/>
    <w:rsid w:val="0708351A"/>
    <w:rsid w:val="071A211B"/>
    <w:rsid w:val="0735663D"/>
    <w:rsid w:val="07503D9E"/>
    <w:rsid w:val="075B6EBC"/>
    <w:rsid w:val="075D3DDD"/>
    <w:rsid w:val="075F7115"/>
    <w:rsid w:val="077732D6"/>
    <w:rsid w:val="07835F01"/>
    <w:rsid w:val="079E1559"/>
    <w:rsid w:val="07A37CD0"/>
    <w:rsid w:val="07B435FD"/>
    <w:rsid w:val="07C26BB7"/>
    <w:rsid w:val="07C72A6E"/>
    <w:rsid w:val="07E03280"/>
    <w:rsid w:val="07E90DD0"/>
    <w:rsid w:val="07EC6998"/>
    <w:rsid w:val="07FC7625"/>
    <w:rsid w:val="081738C6"/>
    <w:rsid w:val="081D5877"/>
    <w:rsid w:val="08461046"/>
    <w:rsid w:val="084A58B8"/>
    <w:rsid w:val="08595C54"/>
    <w:rsid w:val="086F5263"/>
    <w:rsid w:val="087755F2"/>
    <w:rsid w:val="087C47B4"/>
    <w:rsid w:val="087F68E2"/>
    <w:rsid w:val="08862C7C"/>
    <w:rsid w:val="08927D34"/>
    <w:rsid w:val="08B41924"/>
    <w:rsid w:val="08B4357A"/>
    <w:rsid w:val="08CC32E3"/>
    <w:rsid w:val="08D75495"/>
    <w:rsid w:val="08E16609"/>
    <w:rsid w:val="08FE0BC7"/>
    <w:rsid w:val="09077EA9"/>
    <w:rsid w:val="090A2E98"/>
    <w:rsid w:val="094E519D"/>
    <w:rsid w:val="094E5430"/>
    <w:rsid w:val="095D519F"/>
    <w:rsid w:val="09834E29"/>
    <w:rsid w:val="0993268D"/>
    <w:rsid w:val="09CB0380"/>
    <w:rsid w:val="09DE0621"/>
    <w:rsid w:val="09DF10BB"/>
    <w:rsid w:val="09EA6773"/>
    <w:rsid w:val="09EB33F6"/>
    <w:rsid w:val="0A00581E"/>
    <w:rsid w:val="0A0538D7"/>
    <w:rsid w:val="0A061CF8"/>
    <w:rsid w:val="0A14763D"/>
    <w:rsid w:val="0A1C5C7A"/>
    <w:rsid w:val="0A233AFB"/>
    <w:rsid w:val="0A324805"/>
    <w:rsid w:val="0A4A209B"/>
    <w:rsid w:val="0A675E0D"/>
    <w:rsid w:val="0A96737A"/>
    <w:rsid w:val="0A9704AE"/>
    <w:rsid w:val="0AA46289"/>
    <w:rsid w:val="0AA843AA"/>
    <w:rsid w:val="0AB17999"/>
    <w:rsid w:val="0AB74FCC"/>
    <w:rsid w:val="0ACE4ED5"/>
    <w:rsid w:val="0B0568B1"/>
    <w:rsid w:val="0B0E0B29"/>
    <w:rsid w:val="0B0E420A"/>
    <w:rsid w:val="0B1311D4"/>
    <w:rsid w:val="0B1C3BD4"/>
    <w:rsid w:val="0B1D76D0"/>
    <w:rsid w:val="0B251F08"/>
    <w:rsid w:val="0B25571F"/>
    <w:rsid w:val="0B2F07CE"/>
    <w:rsid w:val="0B34481F"/>
    <w:rsid w:val="0B53243F"/>
    <w:rsid w:val="0B5C2DD3"/>
    <w:rsid w:val="0B5E43FC"/>
    <w:rsid w:val="0B62584C"/>
    <w:rsid w:val="0B6D185E"/>
    <w:rsid w:val="0B8255A9"/>
    <w:rsid w:val="0BA87663"/>
    <w:rsid w:val="0BAC170E"/>
    <w:rsid w:val="0BB35A1E"/>
    <w:rsid w:val="0BC03C47"/>
    <w:rsid w:val="0BC52217"/>
    <w:rsid w:val="0BC94A89"/>
    <w:rsid w:val="0BD00081"/>
    <w:rsid w:val="0BDC4F75"/>
    <w:rsid w:val="0BDD24EA"/>
    <w:rsid w:val="0BE428CB"/>
    <w:rsid w:val="0C061117"/>
    <w:rsid w:val="0C16504C"/>
    <w:rsid w:val="0C186830"/>
    <w:rsid w:val="0C27698C"/>
    <w:rsid w:val="0C2F3BFB"/>
    <w:rsid w:val="0C321200"/>
    <w:rsid w:val="0C430094"/>
    <w:rsid w:val="0C476647"/>
    <w:rsid w:val="0C4F4DAC"/>
    <w:rsid w:val="0C521D2B"/>
    <w:rsid w:val="0C765975"/>
    <w:rsid w:val="0C8F39C2"/>
    <w:rsid w:val="0C8F3F7F"/>
    <w:rsid w:val="0C9151CB"/>
    <w:rsid w:val="0CAF1DA4"/>
    <w:rsid w:val="0CB01534"/>
    <w:rsid w:val="0CB65E3B"/>
    <w:rsid w:val="0CCA499B"/>
    <w:rsid w:val="0CD73366"/>
    <w:rsid w:val="0CEF7123"/>
    <w:rsid w:val="0D0057FF"/>
    <w:rsid w:val="0D03747E"/>
    <w:rsid w:val="0D170D1B"/>
    <w:rsid w:val="0D21216C"/>
    <w:rsid w:val="0D214A6F"/>
    <w:rsid w:val="0D222FDE"/>
    <w:rsid w:val="0D3042A4"/>
    <w:rsid w:val="0D373AF4"/>
    <w:rsid w:val="0D4F6AC4"/>
    <w:rsid w:val="0D584ACF"/>
    <w:rsid w:val="0D6C7D00"/>
    <w:rsid w:val="0D93783A"/>
    <w:rsid w:val="0DA04749"/>
    <w:rsid w:val="0DAF41B5"/>
    <w:rsid w:val="0DB36B8F"/>
    <w:rsid w:val="0DBB47F1"/>
    <w:rsid w:val="0DCA2440"/>
    <w:rsid w:val="0DE73CC4"/>
    <w:rsid w:val="0E1D07E4"/>
    <w:rsid w:val="0E200CF2"/>
    <w:rsid w:val="0E330A9F"/>
    <w:rsid w:val="0E3C44C9"/>
    <w:rsid w:val="0E443A14"/>
    <w:rsid w:val="0E4C3165"/>
    <w:rsid w:val="0E5B0E22"/>
    <w:rsid w:val="0E7855C2"/>
    <w:rsid w:val="0E9C5578"/>
    <w:rsid w:val="0EA87378"/>
    <w:rsid w:val="0EA966DC"/>
    <w:rsid w:val="0EBD5F56"/>
    <w:rsid w:val="0ED22EFC"/>
    <w:rsid w:val="0EDE46A3"/>
    <w:rsid w:val="0EED201A"/>
    <w:rsid w:val="0EFC6FAF"/>
    <w:rsid w:val="0EFF2635"/>
    <w:rsid w:val="0F0B6D63"/>
    <w:rsid w:val="0F11544C"/>
    <w:rsid w:val="0F1439E5"/>
    <w:rsid w:val="0F2A18F6"/>
    <w:rsid w:val="0F312316"/>
    <w:rsid w:val="0F373983"/>
    <w:rsid w:val="0F4479EF"/>
    <w:rsid w:val="0F5069A2"/>
    <w:rsid w:val="0F5A6029"/>
    <w:rsid w:val="0F6610B5"/>
    <w:rsid w:val="0F667D43"/>
    <w:rsid w:val="0F690F5D"/>
    <w:rsid w:val="0F7E7956"/>
    <w:rsid w:val="0F8228B9"/>
    <w:rsid w:val="0F875445"/>
    <w:rsid w:val="0F993320"/>
    <w:rsid w:val="0FB96300"/>
    <w:rsid w:val="0FC00405"/>
    <w:rsid w:val="0FD917A0"/>
    <w:rsid w:val="0FF97273"/>
    <w:rsid w:val="0FFB328B"/>
    <w:rsid w:val="0FFC6A22"/>
    <w:rsid w:val="10101C82"/>
    <w:rsid w:val="1011604F"/>
    <w:rsid w:val="103668B8"/>
    <w:rsid w:val="103A3298"/>
    <w:rsid w:val="10466AD0"/>
    <w:rsid w:val="10502BF6"/>
    <w:rsid w:val="10526E0E"/>
    <w:rsid w:val="10572591"/>
    <w:rsid w:val="105B1BC7"/>
    <w:rsid w:val="10612C7E"/>
    <w:rsid w:val="10710E65"/>
    <w:rsid w:val="107A3067"/>
    <w:rsid w:val="10950890"/>
    <w:rsid w:val="10B43B62"/>
    <w:rsid w:val="10B87270"/>
    <w:rsid w:val="10C84D24"/>
    <w:rsid w:val="10D3167B"/>
    <w:rsid w:val="11127EDA"/>
    <w:rsid w:val="11130D98"/>
    <w:rsid w:val="111C153D"/>
    <w:rsid w:val="113317D4"/>
    <w:rsid w:val="1146607E"/>
    <w:rsid w:val="114D115A"/>
    <w:rsid w:val="115735B9"/>
    <w:rsid w:val="115A51C5"/>
    <w:rsid w:val="115C0298"/>
    <w:rsid w:val="116E57B2"/>
    <w:rsid w:val="1187453F"/>
    <w:rsid w:val="1194104C"/>
    <w:rsid w:val="11A10C0D"/>
    <w:rsid w:val="11A94E4F"/>
    <w:rsid w:val="11A959F9"/>
    <w:rsid w:val="11AB5AFF"/>
    <w:rsid w:val="11B226F6"/>
    <w:rsid w:val="11BC2D87"/>
    <w:rsid w:val="11C52E70"/>
    <w:rsid w:val="11D95CE7"/>
    <w:rsid w:val="11E9524B"/>
    <w:rsid w:val="1233224E"/>
    <w:rsid w:val="123D0696"/>
    <w:rsid w:val="123E0BA7"/>
    <w:rsid w:val="126B3217"/>
    <w:rsid w:val="127E12E0"/>
    <w:rsid w:val="12895813"/>
    <w:rsid w:val="1291473D"/>
    <w:rsid w:val="129C684E"/>
    <w:rsid w:val="12B23534"/>
    <w:rsid w:val="12BB2A4F"/>
    <w:rsid w:val="12C2199A"/>
    <w:rsid w:val="12C6639A"/>
    <w:rsid w:val="12CB496D"/>
    <w:rsid w:val="12E36BE9"/>
    <w:rsid w:val="12ED3A6B"/>
    <w:rsid w:val="12F07EBB"/>
    <w:rsid w:val="12FB03C3"/>
    <w:rsid w:val="13013E75"/>
    <w:rsid w:val="13071965"/>
    <w:rsid w:val="131A4518"/>
    <w:rsid w:val="132B6697"/>
    <w:rsid w:val="13335F60"/>
    <w:rsid w:val="13497394"/>
    <w:rsid w:val="13513745"/>
    <w:rsid w:val="13560661"/>
    <w:rsid w:val="135E15B5"/>
    <w:rsid w:val="13814246"/>
    <w:rsid w:val="13920590"/>
    <w:rsid w:val="13A65D8C"/>
    <w:rsid w:val="13A92F86"/>
    <w:rsid w:val="13AA3DCA"/>
    <w:rsid w:val="13AE5AE8"/>
    <w:rsid w:val="13B31681"/>
    <w:rsid w:val="13CB0259"/>
    <w:rsid w:val="13D7175A"/>
    <w:rsid w:val="13D879FA"/>
    <w:rsid w:val="13D972CB"/>
    <w:rsid w:val="13DD2125"/>
    <w:rsid w:val="13F60A60"/>
    <w:rsid w:val="13FB63E6"/>
    <w:rsid w:val="1411045E"/>
    <w:rsid w:val="1414583C"/>
    <w:rsid w:val="142C1935"/>
    <w:rsid w:val="14301DE3"/>
    <w:rsid w:val="144208A8"/>
    <w:rsid w:val="14572C7C"/>
    <w:rsid w:val="14663DDA"/>
    <w:rsid w:val="1470324E"/>
    <w:rsid w:val="147F5F6D"/>
    <w:rsid w:val="148305CD"/>
    <w:rsid w:val="1484781D"/>
    <w:rsid w:val="14864A5A"/>
    <w:rsid w:val="14AB6285"/>
    <w:rsid w:val="14AE5046"/>
    <w:rsid w:val="14BD0424"/>
    <w:rsid w:val="14D74516"/>
    <w:rsid w:val="14DC6768"/>
    <w:rsid w:val="15020655"/>
    <w:rsid w:val="151D6916"/>
    <w:rsid w:val="15446AF1"/>
    <w:rsid w:val="15482D95"/>
    <w:rsid w:val="15687BF2"/>
    <w:rsid w:val="157029DB"/>
    <w:rsid w:val="157103D5"/>
    <w:rsid w:val="157A570D"/>
    <w:rsid w:val="157B5D6A"/>
    <w:rsid w:val="159675EB"/>
    <w:rsid w:val="159B65E0"/>
    <w:rsid w:val="15A63474"/>
    <w:rsid w:val="15A87AB2"/>
    <w:rsid w:val="15C23B3F"/>
    <w:rsid w:val="15C67D5C"/>
    <w:rsid w:val="15C9263F"/>
    <w:rsid w:val="15D436CE"/>
    <w:rsid w:val="15D46008"/>
    <w:rsid w:val="15DE79CB"/>
    <w:rsid w:val="15EF4A6E"/>
    <w:rsid w:val="15FB29F5"/>
    <w:rsid w:val="160A1F93"/>
    <w:rsid w:val="16105F47"/>
    <w:rsid w:val="16163359"/>
    <w:rsid w:val="16267C87"/>
    <w:rsid w:val="162C6DD3"/>
    <w:rsid w:val="163A59A0"/>
    <w:rsid w:val="16484ED4"/>
    <w:rsid w:val="165F614B"/>
    <w:rsid w:val="167A6F03"/>
    <w:rsid w:val="16844314"/>
    <w:rsid w:val="16883E63"/>
    <w:rsid w:val="16A83C9A"/>
    <w:rsid w:val="16ED510C"/>
    <w:rsid w:val="16ED7463"/>
    <w:rsid w:val="16F413C5"/>
    <w:rsid w:val="16F66174"/>
    <w:rsid w:val="16FD16D7"/>
    <w:rsid w:val="16FF4361"/>
    <w:rsid w:val="17336CA9"/>
    <w:rsid w:val="1743062B"/>
    <w:rsid w:val="1745775C"/>
    <w:rsid w:val="17485399"/>
    <w:rsid w:val="17490464"/>
    <w:rsid w:val="17604E8E"/>
    <w:rsid w:val="1768645E"/>
    <w:rsid w:val="176A191B"/>
    <w:rsid w:val="1783070E"/>
    <w:rsid w:val="17834DD6"/>
    <w:rsid w:val="17882BAB"/>
    <w:rsid w:val="17963DAB"/>
    <w:rsid w:val="17A105B2"/>
    <w:rsid w:val="17BD4272"/>
    <w:rsid w:val="17CC5709"/>
    <w:rsid w:val="17D36431"/>
    <w:rsid w:val="17F57236"/>
    <w:rsid w:val="180C124A"/>
    <w:rsid w:val="181424CF"/>
    <w:rsid w:val="181C0BAD"/>
    <w:rsid w:val="18254DC7"/>
    <w:rsid w:val="182E3E59"/>
    <w:rsid w:val="185311F4"/>
    <w:rsid w:val="185B347B"/>
    <w:rsid w:val="185E5013"/>
    <w:rsid w:val="188771ED"/>
    <w:rsid w:val="188A6177"/>
    <w:rsid w:val="188E0472"/>
    <w:rsid w:val="18941D36"/>
    <w:rsid w:val="189C4DD1"/>
    <w:rsid w:val="18A932BD"/>
    <w:rsid w:val="18BA2DBD"/>
    <w:rsid w:val="18C272A1"/>
    <w:rsid w:val="18CB3B0E"/>
    <w:rsid w:val="18DC6E43"/>
    <w:rsid w:val="18E21789"/>
    <w:rsid w:val="18E511A6"/>
    <w:rsid w:val="18E828C4"/>
    <w:rsid w:val="18E96523"/>
    <w:rsid w:val="18EC7939"/>
    <w:rsid w:val="18ED1AB1"/>
    <w:rsid w:val="1921506A"/>
    <w:rsid w:val="192B57DD"/>
    <w:rsid w:val="192F14E6"/>
    <w:rsid w:val="194D2C0B"/>
    <w:rsid w:val="194E183D"/>
    <w:rsid w:val="19597600"/>
    <w:rsid w:val="19606DAB"/>
    <w:rsid w:val="19772759"/>
    <w:rsid w:val="1983120D"/>
    <w:rsid w:val="199D2CD3"/>
    <w:rsid w:val="19AC41C0"/>
    <w:rsid w:val="19B27191"/>
    <w:rsid w:val="19CF1AAE"/>
    <w:rsid w:val="19F94074"/>
    <w:rsid w:val="19FB7E4D"/>
    <w:rsid w:val="1A003626"/>
    <w:rsid w:val="1A1C635B"/>
    <w:rsid w:val="1A1F19AF"/>
    <w:rsid w:val="1A2E26D7"/>
    <w:rsid w:val="1A463A14"/>
    <w:rsid w:val="1A4B49CD"/>
    <w:rsid w:val="1A596C97"/>
    <w:rsid w:val="1A657318"/>
    <w:rsid w:val="1A6E23A3"/>
    <w:rsid w:val="1A6F6E7D"/>
    <w:rsid w:val="1A7F5F0D"/>
    <w:rsid w:val="1A8C61F5"/>
    <w:rsid w:val="1AAC0D95"/>
    <w:rsid w:val="1AAE4243"/>
    <w:rsid w:val="1AB16E24"/>
    <w:rsid w:val="1AB94B8B"/>
    <w:rsid w:val="1ABF1C81"/>
    <w:rsid w:val="1AC06A96"/>
    <w:rsid w:val="1AFB5443"/>
    <w:rsid w:val="1AFC4DCD"/>
    <w:rsid w:val="1B3C1128"/>
    <w:rsid w:val="1B4D5B38"/>
    <w:rsid w:val="1B6141FA"/>
    <w:rsid w:val="1B7970FA"/>
    <w:rsid w:val="1B81364F"/>
    <w:rsid w:val="1BAA4B07"/>
    <w:rsid w:val="1BAD7060"/>
    <w:rsid w:val="1BB3793D"/>
    <w:rsid w:val="1BB4460F"/>
    <w:rsid w:val="1BBD6401"/>
    <w:rsid w:val="1BC24F27"/>
    <w:rsid w:val="1BD27892"/>
    <w:rsid w:val="1BFD5737"/>
    <w:rsid w:val="1C0030AF"/>
    <w:rsid w:val="1C2164E7"/>
    <w:rsid w:val="1C262320"/>
    <w:rsid w:val="1C3839F1"/>
    <w:rsid w:val="1C4B2837"/>
    <w:rsid w:val="1C535800"/>
    <w:rsid w:val="1CBA58C6"/>
    <w:rsid w:val="1CBF3E1B"/>
    <w:rsid w:val="1CD00E37"/>
    <w:rsid w:val="1CDC34B2"/>
    <w:rsid w:val="1CFD6106"/>
    <w:rsid w:val="1D052E91"/>
    <w:rsid w:val="1D072742"/>
    <w:rsid w:val="1D160B23"/>
    <w:rsid w:val="1D190B51"/>
    <w:rsid w:val="1D225CF3"/>
    <w:rsid w:val="1D26292A"/>
    <w:rsid w:val="1D2C28DA"/>
    <w:rsid w:val="1D38633E"/>
    <w:rsid w:val="1D4E2C6F"/>
    <w:rsid w:val="1D541400"/>
    <w:rsid w:val="1D552F66"/>
    <w:rsid w:val="1D566B91"/>
    <w:rsid w:val="1D761BE9"/>
    <w:rsid w:val="1D7E7FF2"/>
    <w:rsid w:val="1D87105B"/>
    <w:rsid w:val="1D8F3E49"/>
    <w:rsid w:val="1DB27D38"/>
    <w:rsid w:val="1DB83166"/>
    <w:rsid w:val="1DBD0377"/>
    <w:rsid w:val="1DBD1101"/>
    <w:rsid w:val="1DC86BE0"/>
    <w:rsid w:val="1DEB148B"/>
    <w:rsid w:val="1DF02D9F"/>
    <w:rsid w:val="1E0770BB"/>
    <w:rsid w:val="1E21615A"/>
    <w:rsid w:val="1E2272B7"/>
    <w:rsid w:val="1E2309F7"/>
    <w:rsid w:val="1E2A60C1"/>
    <w:rsid w:val="1E3C7F03"/>
    <w:rsid w:val="1E426334"/>
    <w:rsid w:val="1E433B17"/>
    <w:rsid w:val="1E4F72D0"/>
    <w:rsid w:val="1E552724"/>
    <w:rsid w:val="1E6500DF"/>
    <w:rsid w:val="1E6C5060"/>
    <w:rsid w:val="1E804B1A"/>
    <w:rsid w:val="1E920280"/>
    <w:rsid w:val="1EA309A3"/>
    <w:rsid w:val="1EBF4331"/>
    <w:rsid w:val="1ED4669E"/>
    <w:rsid w:val="1ED60459"/>
    <w:rsid w:val="1EF04A9C"/>
    <w:rsid w:val="1EFA73AF"/>
    <w:rsid w:val="1EFB2B90"/>
    <w:rsid w:val="1F074DB6"/>
    <w:rsid w:val="1F0D409E"/>
    <w:rsid w:val="1F184DCF"/>
    <w:rsid w:val="1F1A5222"/>
    <w:rsid w:val="1F365AAA"/>
    <w:rsid w:val="1F4B085D"/>
    <w:rsid w:val="1F5B74D8"/>
    <w:rsid w:val="1F636AFC"/>
    <w:rsid w:val="1F653F28"/>
    <w:rsid w:val="1F6A37F9"/>
    <w:rsid w:val="1F7207D0"/>
    <w:rsid w:val="1F7D0B22"/>
    <w:rsid w:val="1F8B0DFB"/>
    <w:rsid w:val="1F905500"/>
    <w:rsid w:val="1F93282A"/>
    <w:rsid w:val="1F98186C"/>
    <w:rsid w:val="1FB32A40"/>
    <w:rsid w:val="1FD06C0D"/>
    <w:rsid w:val="1FE40446"/>
    <w:rsid w:val="1FF3084D"/>
    <w:rsid w:val="1FF55CFE"/>
    <w:rsid w:val="20006821"/>
    <w:rsid w:val="200E19A7"/>
    <w:rsid w:val="20236EF7"/>
    <w:rsid w:val="203E26B9"/>
    <w:rsid w:val="20476FC7"/>
    <w:rsid w:val="20591E57"/>
    <w:rsid w:val="20796D98"/>
    <w:rsid w:val="208029F0"/>
    <w:rsid w:val="208A37BB"/>
    <w:rsid w:val="208C004D"/>
    <w:rsid w:val="208E1AE1"/>
    <w:rsid w:val="20970F69"/>
    <w:rsid w:val="20AF3496"/>
    <w:rsid w:val="20BE6BF2"/>
    <w:rsid w:val="20D47FE5"/>
    <w:rsid w:val="20D84443"/>
    <w:rsid w:val="20DD57CB"/>
    <w:rsid w:val="20E132FD"/>
    <w:rsid w:val="20E36760"/>
    <w:rsid w:val="20ED77EE"/>
    <w:rsid w:val="20F23661"/>
    <w:rsid w:val="20F82DDC"/>
    <w:rsid w:val="20FD2428"/>
    <w:rsid w:val="210F27D9"/>
    <w:rsid w:val="212416A7"/>
    <w:rsid w:val="21356CB4"/>
    <w:rsid w:val="213D2EBF"/>
    <w:rsid w:val="21640933"/>
    <w:rsid w:val="216C64FB"/>
    <w:rsid w:val="21730745"/>
    <w:rsid w:val="219C6158"/>
    <w:rsid w:val="21A23EA1"/>
    <w:rsid w:val="21A67760"/>
    <w:rsid w:val="21BF4956"/>
    <w:rsid w:val="21C83E17"/>
    <w:rsid w:val="21F752B6"/>
    <w:rsid w:val="22080FCB"/>
    <w:rsid w:val="22096D7D"/>
    <w:rsid w:val="222424E5"/>
    <w:rsid w:val="222C6CBC"/>
    <w:rsid w:val="22341F79"/>
    <w:rsid w:val="224B43F6"/>
    <w:rsid w:val="226D0A32"/>
    <w:rsid w:val="2273504D"/>
    <w:rsid w:val="227F4CC1"/>
    <w:rsid w:val="229213B7"/>
    <w:rsid w:val="229443DC"/>
    <w:rsid w:val="22A62A95"/>
    <w:rsid w:val="22A93EC3"/>
    <w:rsid w:val="22A96E9A"/>
    <w:rsid w:val="22B75C2F"/>
    <w:rsid w:val="22C30B48"/>
    <w:rsid w:val="22D33EAD"/>
    <w:rsid w:val="22D8376E"/>
    <w:rsid w:val="22F01B6F"/>
    <w:rsid w:val="22F37745"/>
    <w:rsid w:val="22FE0D55"/>
    <w:rsid w:val="232424D0"/>
    <w:rsid w:val="233364E2"/>
    <w:rsid w:val="233C5588"/>
    <w:rsid w:val="235C7B6F"/>
    <w:rsid w:val="236A3649"/>
    <w:rsid w:val="2376174B"/>
    <w:rsid w:val="23905A92"/>
    <w:rsid w:val="239216DC"/>
    <w:rsid w:val="239258E3"/>
    <w:rsid w:val="2399560F"/>
    <w:rsid w:val="23A83E72"/>
    <w:rsid w:val="23AE0FA1"/>
    <w:rsid w:val="23F61CAB"/>
    <w:rsid w:val="2413174B"/>
    <w:rsid w:val="242051A0"/>
    <w:rsid w:val="24224139"/>
    <w:rsid w:val="242A533F"/>
    <w:rsid w:val="24347BA2"/>
    <w:rsid w:val="24383563"/>
    <w:rsid w:val="24473477"/>
    <w:rsid w:val="244C34CC"/>
    <w:rsid w:val="244E5AC1"/>
    <w:rsid w:val="246E5EDD"/>
    <w:rsid w:val="246F75CB"/>
    <w:rsid w:val="24A80773"/>
    <w:rsid w:val="24B279C3"/>
    <w:rsid w:val="24F170ED"/>
    <w:rsid w:val="24F628F7"/>
    <w:rsid w:val="25043A16"/>
    <w:rsid w:val="250A2505"/>
    <w:rsid w:val="251368DF"/>
    <w:rsid w:val="25235E67"/>
    <w:rsid w:val="253E0FCE"/>
    <w:rsid w:val="254C6C7E"/>
    <w:rsid w:val="254D1447"/>
    <w:rsid w:val="2550236D"/>
    <w:rsid w:val="256B580A"/>
    <w:rsid w:val="25792686"/>
    <w:rsid w:val="257A67A1"/>
    <w:rsid w:val="25865ECB"/>
    <w:rsid w:val="25AD3A3E"/>
    <w:rsid w:val="25B07526"/>
    <w:rsid w:val="25B876BC"/>
    <w:rsid w:val="25D85C44"/>
    <w:rsid w:val="25E427AA"/>
    <w:rsid w:val="25EA26E7"/>
    <w:rsid w:val="25F001F5"/>
    <w:rsid w:val="25F54811"/>
    <w:rsid w:val="260446B4"/>
    <w:rsid w:val="26054F70"/>
    <w:rsid w:val="26360850"/>
    <w:rsid w:val="26482966"/>
    <w:rsid w:val="26511067"/>
    <w:rsid w:val="2662314A"/>
    <w:rsid w:val="268C581D"/>
    <w:rsid w:val="26A03383"/>
    <w:rsid w:val="26C67570"/>
    <w:rsid w:val="26CC1074"/>
    <w:rsid w:val="26D7385E"/>
    <w:rsid w:val="26F170F6"/>
    <w:rsid w:val="26FF27B7"/>
    <w:rsid w:val="27037359"/>
    <w:rsid w:val="271E40E7"/>
    <w:rsid w:val="272E600D"/>
    <w:rsid w:val="273151A0"/>
    <w:rsid w:val="27337669"/>
    <w:rsid w:val="27406950"/>
    <w:rsid w:val="274243CE"/>
    <w:rsid w:val="27445733"/>
    <w:rsid w:val="274929FF"/>
    <w:rsid w:val="27537538"/>
    <w:rsid w:val="27561BC1"/>
    <w:rsid w:val="275C0F88"/>
    <w:rsid w:val="27627BCD"/>
    <w:rsid w:val="276A503D"/>
    <w:rsid w:val="27707EE7"/>
    <w:rsid w:val="27713AB6"/>
    <w:rsid w:val="2776343A"/>
    <w:rsid w:val="27793916"/>
    <w:rsid w:val="278029E6"/>
    <w:rsid w:val="27A0328F"/>
    <w:rsid w:val="27A105A9"/>
    <w:rsid w:val="27A62F3E"/>
    <w:rsid w:val="27A720F5"/>
    <w:rsid w:val="27A921D7"/>
    <w:rsid w:val="27CA433B"/>
    <w:rsid w:val="27F36DDB"/>
    <w:rsid w:val="27F91F05"/>
    <w:rsid w:val="27FB180F"/>
    <w:rsid w:val="27FF2982"/>
    <w:rsid w:val="280061EA"/>
    <w:rsid w:val="280D24D5"/>
    <w:rsid w:val="281D2979"/>
    <w:rsid w:val="28273650"/>
    <w:rsid w:val="28350482"/>
    <w:rsid w:val="28491A90"/>
    <w:rsid w:val="28545B38"/>
    <w:rsid w:val="287C08D4"/>
    <w:rsid w:val="28803954"/>
    <w:rsid w:val="288E0F4E"/>
    <w:rsid w:val="28923AC4"/>
    <w:rsid w:val="289D70C1"/>
    <w:rsid w:val="28BA4209"/>
    <w:rsid w:val="28C75DCD"/>
    <w:rsid w:val="28C940E6"/>
    <w:rsid w:val="28D066BF"/>
    <w:rsid w:val="28D0722F"/>
    <w:rsid w:val="28D6687A"/>
    <w:rsid w:val="28DA4559"/>
    <w:rsid w:val="29062150"/>
    <w:rsid w:val="290D33C7"/>
    <w:rsid w:val="291B713F"/>
    <w:rsid w:val="292802DD"/>
    <w:rsid w:val="29282352"/>
    <w:rsid w:val="293266AE"/>
    <w:rsid w:val="29337FD0"/>
    <w:rsid w:val="293973D3"/>
    <w:rsid w:val="29417DB9"/>
    <w:rsid w:val="29547417"/>
    <w:rsid w:val="295F5D30"/>
    <w:rsid w:val="29722759"/>
    <w:rsid w:val="298F6B28"/>
    <w:rsid w:val="29BC5860"/>
    <w:rsid w:val="29C41603"/>
    <w:rsid w:val="29CD3BFD"/>
    <w:rsid w:val="29D34853"/>
    <w:rsid w:val="29DF125A"/>
    <w:rsid w:val="29E71E6F"/>
    <w:rsid w:val="29EF7233"/>
    <w:rsid w:val="29FC54C7"/>
    <w:rsid w:val="29FD4B8D"/>
    <w:rsid w:val="2A1D4B45"/>
    <w:rsid w:val="2A443A3A"/>
    <w:rsid w:val="2A602523"/>
    <w:rsid w:val="2A6A09AF"/>
    <w:rsid w:val="2A6C2BD2"/>
    <w:rsid w:val="2A6F5407"/>
    <w:rsid w:val="2A71611F"/>
    <w:rsid w:val="2A9F597F"/>
    <w:rsid w:val="2AA12559"/>
    <w:rsid w:val="2AA639E1"/>
    <w:rsid w:val="2AAF49A5"/>
    <w:rsid w:val="2ACF733C"/>
    <w:rsid w:val="2AD453A6"/>
    <w:rsid w:val="2AE354F0"/>
    <w:rsid w:val="2AE3743C"/>
    <w:rsid w:val="2AEB726A"/>
    <w:rsid w:val="2B0D5356"/>
    <w:rsid w:val="2B1C0815"/>
    <w:rsid w:val="2B333202"/>
    <w:rsid w:val="2B3B65B9"/>
    <w:rsid w:val="2B43430E"/>
    <w:rsid w:val="2B4A1656"/>
    <w:rsid w:val="2B4F572F"/>
    <w:rsid w:val="2B574759"/>
    <w:rsid w:val="2B5B30BF"/>
    <w:rsid w:val="2B894008"/>
    <w:rsid w:val="2BA5017C"/>
    <w:rsid w:val="2BB815F3"/>
    <w:rsid w:val="2BDB3387"/>
    <w:rsid w:val="2BDD7AAA"/>
    <w:rsid w:val="2BE615FD"/>
    <w:rsid w:val="2BF16A4A"/>
    <w:rsid w:val="2BF37000"/>
    <w:rsid w:val="2C052D2F"/>
    <w:rsid w:val="2C236E71"/>
    <w:rsid w:val="2C2B1C74"/>
    <w:rsid w:val="2C364A2D"/>
    <w:rsid w:val="2C3B4F5F"/>
    <w:rsid w:val="2C3E288E"/>
    <w:rsid w:val="2C430291"/>
    <w:rsid w:val="2C4F78F5"/>
    <w:rsid w:val="2C551E75"/>
    <w:rsid w:val="2C562D83"/>
    <w:rsid w:val="2C6659B7"/>
    <w:rsid w:val="2C7B7FCF"/>
    <w:rsid w:val="2C8342A2"/>
    <w:rsid w:val="2C8A7291"/>
    <w:rsid w:val="2C9055E0"/>
    <w:rsid w:val="2CBA50C1"/>
    <w:rsid w:val="2CCD2385"/>
    <w:rsid w:val="2CD16BAD"/>
    <w:rsid w:val="2CDE3948"/>
    <w:rsid w:val="2CE31F62"/>
    <w:rsid w:val="2CE97EFF"/>
    <w:rsid w:val="2CF43F21"/>
    <w:rsid w:val="2CFC28F4"/>
    <w:rsid w:val="2D133D44"/>
    <w:rsid w:val="2D5F2561"/>
    <w:rsid w:val="2D8E211C"/>
    <w:rsid w:val="2D963737"/>
    <w:rsid w:val="2D9A0EC5"/>
    <w:rsid w:val="2DA047AE"/>
    <w:rsid w:val="2DA772D1"/>
    <w:rsid w:val="2DA9454F"/>
    <w:rsid w:val="2DAB0C4B"/>
    <w:rsid w:val="2DAE6DA6"/>
    <w:rsid w:val="2DAE7938"/>
    <w:rsid w:val="2DE72908"/>
    <w:rsid w:val="2DF437D0"/>
    <w:rsid w:val="2E044CA6"/>
    <w:rsid w:val="2E0465DD"/>
    <w:rsid w:val="2E0B5EBF"/>
    <w:rsid w:val="2E1F26B6"/>
    <w:rsid w:val="2E302A99"/>
    <w:rsid w:val="2E311258"/>
    <w:rsid w:val="2E313E78"/>
    <w:rsid w:val="2E597DD6"/>
    <w:rsid w:val="2E5F7B80"/>
    <w:rsid w:val="2E700749"/>
    <w:rsid w:val="2E7714F2"/>
    <w:rsid w:val="2E8D58C3"/>
    <w:rsid w:val="2E9840B5"/>
    <w:rsid w:val="2EA00BCC"/>
    <w:rsid w:val="2EAA3378"/>
    <w:rsid w:val="2EBE6014"/>
    <w:rsid w:val="2EC44376"/>
    <w:rsid w:val="2EC604D5"/>
    <w:rsid w:val="2EC63DC5"/>
    <w:rsid w:val="2ED125CC"/>
    <w:rsid w:val="2EE2215A"/>
    <w:rsid w:val="2EE92D60"/>
    <w:rsid w:val="2EF73785"/>
    <w:rsid w:val="2F2F49E2"/>
    <w:rsid w:val="2F31476F"/>
    <w:rsid w:val="2F383F13"/>
    <w:rsid w:val="2F4376FE"/>
    <w:rsid w:val="2F4D6F99"/>
    <w:rsid w:val="2F51110B"/>
    <w:rsid w:val="2F8157BB"/>
    <w:rsid w:val="2F841B29"/>
    <w:rsid w:val="2F93334A"/>
    <w:rsid w:val="2F9B467C"/>
    <w:rsid w:val="2FA26C30"/>
    <w:rsid w:val="2FBA517A"/>
    <w:rsid w:val="2FE16437"/>
    <w:rsid w:val="2FED6A20"/>
    <w:rsid w:val="2FF0526F"/>
    <w:rsid w:val="2FFC44A9"/>
    <w:rsid w:val="300A3224"/>
    <w:rsid w:val="300E5A5F"/>
    <w:rsid w:val="30145352"/>
    <w:rsid w:val="3016702A"/>
    <w:rsid w:val="30174B48"/>
    <w:rsid w:val="303769DA"/>
    <w:rsid w:val="30422EFD"/>
    <w:rsid w:val="30557258"/>
    <w:rsid w:val="30611AF5"/>
    <w:rsid w:val="306B7B40"/>
    <w:rsid w:val="30721134"/>
    <w:rsid w:val="30805B7E"/>
    <w:rsid w:val="308749F6"/>
    <w:rsid w:val="30895A82"/>
    <w:rsid w:val="308A1219"/>
    <w:rsid w:val="309657DE"/>
    <w:rsid w:val="3097613A"/>
    <w:rsid w:val="30A136B8"/>
    <w:rsid w:val="30A74A6C"/>
    <w:rsid w:val="30AC1DC5"/>
    <w:rsid w:val="30C2068F"/>
    <w:rsid w:val="30C956F4"/>
    <w:rsid w:val="30D0660E"/>
    <w:rsid w:val="30D41C7E"/>
    <w:rsid w:val="30D564BA"/>
    <w:rsid w:val="30D61610"/>
    <w:rsid w:val="30D816B4"/>
    <w:rsid w:val="30E51189"/>
    <w:rsid w:val="30EF2D76"/>
    <w:rsid w:val="30FE020F"/>
    <w:rsid w:val="31057CCF"/>
    <w:rsid w:val="31175DF2"/>
    <w:rsid w:val="311A098E"/>
    <w:rsid w:val="311C3928"/>
    <w:rsid w:val="311F6926"/>
    <w:rsid w:val="314A6E57"/>
    <w:rsid w:val="31617A22"/>
    <w:rsid w:val="31700B04"/>
    <w:rsid w:val="318322D6"/>
    <w:rsid w:val="31834988"/>
    <w:rsid w:val="318F153E"/>
    <w:rsid w:val="31AD2CD3"/>
    <w:rsid w:val="31B32CD6"/>
    <w:rsid w:val="31B4124D"/>
    <w:rsid w:val="31BF501C"/>
    <w:rsid w:val="31EF0AFB"/>
    <w:rsid w:val="31F43666"/>
    <w:rsid w:val="31FF12F1"/>
    <w:rsid w:val="32097A3A"/>
    <w:rsid w:val="32137CBE"/>
    <w:rsid w:val="32160217"/>
    <w:rsid w:val="321D581C"/>
    <w:rsid w:val="32204EBC"/>
    <w:rsid w:val="322337C4"/>
    <w:rsid w:val="32246F29"/>
    <w:rsid w:val="32297284"/>
    <w:rsid w:val="323F3B89"/>
    <w:rsid w:val="32453AB0"/>
    <w:rsid w:val="326C5474"/>
    <w:rsid w:val="32703859"/>
    <w:rsid w:val="3286193C"/>
    <w:rsid w:val="328A505C"/>
    <w:rsid w:val="329A152B"/>
    <w:rsid w:val="329A7368"/>
    <w:rsid w:val="32A71216"/>
    <w:rsid w:val="32B368AF"/>
    <w:rsid w:val="32CA0270"/>
    <w:rsid w:val="32D74577"/>
    <w:rsid w:val="32DA4C19"/>
    <w:rsid w:val="32EE27DF"/>
    <w:rsid w:val="32F17FAB"/>
    <w:rsid w:val="32FB3ACD"/>
    <w:rsid w:val="33001BCD"/>
    <w:rsid w:val="330D64EC"/>
    <w:rsid w:val="331331D2"/>
    <w:rsid w:val="33151364"/>
    <w:rsid w:val="33257205"/>
    <w:rsid w:val="3334229B"/>
    <w:rsid w:val="333C386E"/>
    <w:rsid w:val="334314D7"/>
    <w:rsid w:val="334927B4"/>
    <w:rsid w:val="33514D57"/>
    <w:rsid w:val="337853C5"/>
    <w:rsid w:val="33851A94"/>
    <w:rsid w:val="338C435C"/>
    <w:rsid w:val="33927F44"/>
    <w:rsid w:val="339A7022"/>
    <w:rsid w:val="33B31363"/>
    <w:rsid w:val="33D02EAD"/>
    <w:rsid w:val="33D60BB0"/>
    <w:rsid w:val="33DA32A3"/>
    <w:rsid w:val="33E326E8"/>
    <w:rsid w:val="33E63C36"/>
    <w:rsid w:val="33F556A4"/>
    <w:rsid w:val="33F70860"/>
    <w:rsid w:val="33FD5E27"/>
    <w:rsid w:val="341047A8"/>
    <w:rsid w:val="341F2F4E"/>
    <w:rsid w:val="343D03D3"/>
    <w:rsid w:val="343E665B"/>
    <w:rsid w:val="344003E4"/>
    <w:rsid w:val="34403A44"/>
    <w:rsid w:val="34470565"/>
    <w:rsid w:val="34484778"/>
    <w:rsid w:val="34495F08"/>
    <w:rsid w:val="34744772"/>
    <w:rsid w:val="34984C81"/>
    <w:rsid w:val="34A901D4"/>
    <w:rsid w:val="34B242FE"/>
    <w:rsid w:val="34CA0C2E"/>
    <w:rsid w:val="34D0799F"/>
    <w:rsid w:val="34E6730D"/>
    <w:rsid w:val="34E76069"/>
    <w:rsid w:val="34F47F44"/>
    <w:rsid w:val="35092087"/>
    <w:rsid w:val="35143E14"/>
    <w:rsid w:val="35226F5C"/>
    <w:rsid w:val="353A34AC"/>
    <w:rsid w:val="35480AF2"/>
    <w:rsid w:val="354A5E7F"/>
    <w:rsid w:val="354B6429"/>
    <w:rsid w:val="35615B3C"/>
    <w:rsid w:val="356D3399"/>
    <w:rsid w:val="358611DC"/>
    <w:rsid w:val="35940C7E"/>
    <w:rsid w:val="35AB2836"/>
    <w:rsid w:val="35BC64C5"/>
    <w:rsid w:val="35C932C7"/>
    <w:rsid w:val="35DE410D"/>
    <w:rsid w:val="35F456D2"/>
    <w:rsid w:val="3615026B"/>
    <w:rsid w:val="361A360B"/>
    <w:rsid w:val="362C7D1E"/>
    <w:rsid w:val="362D5977"/>
    <w:rsid w:val="364A592B"/>
    <w:rsid w:val="365A5D4E"/>
    <w:rsid w:val="365E3413"/>
    <w:rsid w:val="366163E5"/>
    <w:rsid w:val="366322C7"/>
    <w:rsid w:val="366C7A39"/>
    <w:rsid w:val="36762DCD"/>
    <w:rsid w:val="36972242"/>
    <w:rsid w:val="36AC2416"/>
    <w:rsid w:val="36B67EB4"/>
    <w:rsid w:val="36D32274"/>
    <w:rsid w:val="36EE5227"/>
    <w:rsid w:val="37013EEC"/>
    <w:rsid w:val="37075FD8"/>
    <w:rsid w:val="37256C48"/>
    <w:rsid w:val="372B478C"/>
    <w:rsid w:val="37444E02"/>
    <w:rsid w:val="374E7609"/>
    <w:rsid w:val="375818F1"/>
    <w:rsid w:val="37613C92"/>
    <w:rsid w:val="37651FDB"/>
    <w:rsid w:val="37696B08"/>
    <w:rsid w:val="37866A38"/>
    <w:rsid w:val="37AA6369"/>
    <w:rsid w:val="37AC17C1"/>
    <w:rsid w:val="37AE6C98"/>
    <w:rsid w:val="37AF3302"/>
    <w:rsid w:val="37B626BC"/>
    <w:rsid w:val="37D207B5"/>
    <w:rsid w:val="37D979B6"/>
    <w:rsid w:val="37E905C4"/>
    <w:rsid w:val="37EE4F07"/>
    <w:rsid w:val="37FC474D"/>
    <w:rsid w:val="37FF0FFE"/>
    <w:rsid w:val="37FF3AB3"/>
    <w:rsid w:val="38291720"/>
    <w:rsid w:val="38330555"/>
    <w:rsid w:val="38354C95"/>
    <w:rsid w:val="384609A4"/>
    <w:rsid w:val="384D59E2"/>
    <w:rsid w:val="385F68D7"/>
    <w:rsid w:val="3860359E"/>
    <w:rsid w:val="3867501A"/>
    <w:rsid w:val="387C374D"/>
    <w:rsid w:val="38A1316A"/>
    <w:rsid w:val="38AA4E99"/>
    <w:rsid w:val="38B602CC"/>
    <w:rsid w:val="38B83354"/>
    <w:rsid w:val="38C37135"/>
    <w:rsid w:val="38C75FE3"/>
    <w:rsid w:val="38CB5F3B"/>
    <w:rsid w:val="38D55EAA"/>
    <w:rsid w:val="38E107E4"/>
    <w:rsid w:val="38E4013B"/>
    <w:rsid w:val="38EE4EA1"/>
    <w:rsid w:val="38EF2634"/>
    <w:rsid w:val="38EF73AD"/>
    <w:rsid w:val="38F33908"/>
    <w:rsid w:val="38F50484"/>
    <w:rsid w:val="38FC1DC3"/>
    <w:rsid w:val="38FF2564"/>
    <w:rsid w:val="39177678"/>
    <w:rsid w:val="392007EA"/>
    <w:rsid w:val="392C404B"/>
    <w:rsid w:val="39371D2B"/>
    <w:rsid w:val="39587E2C"/>
    <w:rsid w:val="396230BF"/>
    <w:rsid w:val="397109A1"/>
    <w:rsid w:val="39861508"/>
    <w:rsid w:val="39964D74"/>
    <w:rsid w:val="399917A5"/>
    <w:rsid w:val="399E1867"/>
    <w:rsid w:val="39A0376B"/>
    <w:rsid w:val="39A732E4"/>
    <w:rsid w:val="39C87C0A"/>
    <w:rsid w:val="39D0496F"/>
    <w:rsid w:val="39D30565"/>
    <w:rsid w:val="39D51B0E"/>
    <w:rsid w:val="39D81775"/>
    <w:rsid w:val="39D825F6"/>
    <w:rsid w:val="39E9384C"/>
    <w:rsid w:val="39EB3832"/>
    <w:rsid w:val="39F141CE"/>
    <w:rsid w:val="39F16C4D"/>
    <w:rsid w:val="39F825B9"/>
    <w:rsid w:val="3A057AE1"/>
    <w:rsid w:val="3A463C76"/>
    <w:rsid w:val="3A5D67E3"/>
    <w:rsid w:val="3A61784F"/>
    <w:rsid w:val="3A6E2972"/>
    <w:rsid w:val="3A730762"/>
    <w:rsid w:val="3A7B30D0"/>
    <w:rsid w:val="3A8261C9"/>
    <w:rsid w:val="3A847D70"/>
    <w:rsid w:val="3AAE6C36"/>
    <w:rsid w:val="3AC93CEA"/>
    <w:rsid w:val="3AF170EF"/>
    <w:rsid w:val="3AFB3920"/>
    <w:rsid w:val="3AFD44E9"/>
    <w:rsid w:val="3AFE583E"/>
    <w:rsid w:val="3AFF6CDB"/>
    <w:rsid w:val="3B0758C3"/>
    <w:rsid w:val="3B1D497C"/>
    <w:rsid w:val="3B2D453A"/>
    <w:rsid w:val="3B2E7A06"/>
    <w:rsid w:val="3B392C42"/>
    <w:rsid w:val="3B395962"/>
    <w:rsid w:val="3B633FCB"/>
    <w:rsid w:val="3B661CDB"/>
    <w:rsid w:val="3B720223"/>
    <w:rsid w:val="3B75142F"/>
    <w:rsid w:val="3B847771"/>
    <w:rsid w:val="3B915DC8"/>
    <w:rsid w:val="3B96033B"/>
    <w:rsid w:val="3B9F2862"/>
    <w:rsid w:val="3B9F2F4E"/>
    <w:rsid w:val="3BC844B5"/>
    <w:rsid w:val="3BE5062D"/>
    <w:rsid w:val="3BE60007"/>
    <w:rsid w:val="3BFF37F8"/>
    <w:rsid w:val="3C017DF2"/>
    <w:rsid w:val="3C0221B4"/>
    <w:rsid w:val="3C054CCE"/>
    <w:rsid w:val="3C0D47DF"/>
    <w:rsid w:val="3C0F0AEE"/>
    <w:rsid w:val="3C1B4520"/>
    <w:rsid w:val="3C3741CD"/>
    <w:rsid w:val="3C447F7B"/>
    <w:rsid w:val="3C75250B"/>
    <w:rsid w:val="3C773EC3"/>
    <w:rsid w:val="3C786BBD"/>
    <w:rsid w:val="3C7C3295"/>
    <w:rsid w:val="3C827138"/>
    <w:rsid w:val="3CA67657"/>
    <w:rsid w:val="3CAE0C8A"/>
    <w:rsid w:val="3CB11E2D"/>
    <w:rsid w:val="3CE37662"/>
    <w:rsid w:val="3CE97DD7"/>
    <w:rsid w:val="3CF60A59"/>
    <w:rsid w:val="3D01313F"/>
    <w:rsid w:val="3D127740"/>
    <w:rsid w:val="3D155978"/>
    <w:rsid w:val="3D271C45"/>
    <w:rsid w:val="3D2B2F26"/>
    <w:rsid w:val="3D42303C"/>
    <w:rsid w:val="3D4A24F3"/>
    <w:rsid w:val="3D5841C7"/>
    <w:rsid w:val="3D5B3162"/>
    <w:rsid w:val="3D870BDE"/>
    <w:rsid w:val="3D912C91"/>
    <w:rsid w:val="3D942F53"/>
    <w:rsid w:val="3D9F543A"/>
    <w:rsid w:val="3DA5306A"/>
    <w:rsid w:val="3DA91B8A"/>
    <w:rsid w:val="3DCC3C9E"/>
    <w:rsid w:val="3DCE1101"/>
    <w:rsid w:val="3DDE5111"/>
    <w:rsid w:val="3DE429F1"/>
    <w:rsid w:val="3DE95FEA"/>
    <w:rsid w:val="3DEE333B"/>
    <w:rsid w:val="3E365259"/>
    <w:rsid w:val="3E513B46"/>
    <w:rsid w:val="3E526E1F"/>
    <w:rsid w:val="3E60043F"/>
    <w:rsid w:val="3E662F1C"/>
    <w:rsid w:val="3E72766D"/>
    <w:rsid w:val="3E74209E"/>
    <w:rsid w:val="3E782B11"/>
    <w:rsid w:val="3E826126"/>
    <w:rsid w:val="3E900503"/>
    <w:rsid w:val="3E944487"/>
    <w:rsid w:val="3EC60BB6"/>
    <w:rsid w:val="3EC97469"/>
    <w:rsid w:val="3EFA6B58"/>
    <w:rsid w:val="3EFF438A"/>
    <w:rsid w:val="3F2434AC"/>
    <w:rsid w:val="3F274753"/>
    <w:rsid w:val="3F297C08"/>
    <w:rsid w:val="3F3E1078"/>
    <w:rsid w:val="3F5B32D1"/>
    <w:rsid w:val="3F6A5CA5"/>
    <w:rsid w:val="3F795C4D"/>
    <w:rsid w:val="3F88240C"/>
    <w:rsid w:val="3F895F77"/>
    <w:rsid w:val="3F8B07F7"/>
    <w:rsid w:val="3F8F0960"/>
    <w:rsid w:val="3FA17924"/>
    <w:rsid w:val="3FA20E59"/>
    <w:rsid w:val="3FA74307"/>
    <w:rsid w:val="3FB73C04"/>
    <w:rsid w:val="3FED2D1D"/>
    <w:rsid w:val="3FF337D9"/>
    <w:rsid w:val="400A15DD"/>
    <w:rsid w:val="40240D17"/>
    <w:rsid w:val="405720A2"/>
    <w:rsid w:val="406B7751"/>
    <w:rsid w:val="40713963"/>
    <w:rsid w:val="40761AD6"/>
    <w:rsid w:val="408314E8"/>
    <w:rsid w:val="408F51B3"/>
    <w:rsid w:val="409556AC"/>
    <w:rsid w:val="409B5F28"/>
    <w:rsid w:val="40B673D0"/>
    <w:rsid w:val="40BF1381"/>
    <w:rsid w:val="40D221A7"/>
    <w:rsid w:val="40D231F2"/>
    <w:rsid w:val="40D34D29"/>
    <w:rsid w:val="40F22475"/>
    <w:rsid w:val="40F358C1"/>
    <w:rsid w:val="410455DD"/>
    <w:rsid w:val="41095C53"/>
    <w:rsid w:val="410A4A73"/>
    <w:rsid w:val="41104897"/>
    <w:rsid w:val="41422818"/>
    <w:rsid w:val="414C706E"/>
    <w:rsid w:val="415F0614"/>
    <w:rsid w:val="41655431"/>
    <w:rsid w:val="416D4952"/>
    <w:rsid w:val="417159A6"/>
    <w:rsid w:val="41737CB0"/>
    <w:rsid w:val="41801D08"/>
    <w:rsid w:val="41DB776F"/>
    <w:rsid w:val="41DC05CC"/>
    <w:rsid w:val="41E17A8B"/>
    <w:rsid w:val="41FB07D4"/>
    <w:rsid w:val="420D1E84"/>
    <w:rsid w:val="420E6D10"/>
    <w:rsid w:val="42234DFF"/>
    <w:rsid w:val="42236980"/>
    <w:rsid w:val="42292222"/>
    <w:rsid w:val="42417929"/>
    <w:rsid w:val="42461D6F"/>
    <w:rsid w:val="42573D6E"/>
    <w:rsid w:val="42635B15"/>
    <w:rsid w:val="426D04A3"/>
    <w:rsid w:val="426F3B7D"/>
    <w:rsid w:val="427102DB"/>
    <w:rsid w:val="42721F4D"/>
    <w:rsid w:val="42764DC2"/>
    <w:rsid w:val="427D041B"/>
    <w:rsid w:val="42803F0C"/>
    <w:rsid w:val="4283575E"/>
    <w:rsid w:val="42871402"/>
    <w:rsid w:val="42930556"/>
    <w:rsid w:val="42930D1B"/>
    <w:rsid w:val="42AF0515"/>
    <w:rsid w:val="42B075B7"/>
    <w:rsid w:val="42BB33EF"/>
    <w:rsid w:val="42BF51BD"/>
    <w:rsid w:val="42C43B1F"/>
    <w:rsid w:val="42D4528C"/>
    <w:rsid w:val="42DE5245"/>
    <w:rsid w:val="42E27A1E"/>
    <w:rsid w:val="42E85E9F"/>
    <w:rsid w:val="430A14DF"/>
    <w:rsid w:val="43211073"/>
    <w:rsid w:val="4329255E"/>
    <w:rsid w:val="433510B6"/>
    <w:rsid w:val="435B1BF9"/>
    <w:rsid w:val="435B4138"/>
    <w:rsid w:val="4389571D"/>
    <w:rsid w:val="43907E91"/>
    <w:rsid w:val="4392656B"/>
    <w:rsid w:val="439500C1"/>
    <w:rsid w:val="43971015"/>
    <w:rsid w:val="43991DCE"/>
    <w:rsid w:val="43A30B2E"/>
    <w:rsid w:val="43AB6681"/>
    <w:rsid w:val="43AE4F81"/>
    <w:rsid w:val="43AF68CE"/>
    <w:rsid w:val="43B85934"/>
    <w:rsid w:val="43E61195"/>
    <w:rsid w:val="43F35770"/>
    <w:rsid w:val="43F92546"/>
    <w:rsid w:val="440E2833"/>
    <w:rsid w:val="441A6A64"/>
    <w:rsid w:val="441D37CB"/>
    <w:rsid w:val="442B12B5"/>
    <w:rsid w:val="444F691B"/>
    <w:rsid w:val="44503C34"/>
    <w:rsid w:val="44593924"/>
    <w:rsid w:val="44597F26"/>
    <w:rsid w:val="44602C72"/>
    <w:rsid w:val="44657537"/>
    <w:rsid w:val="446A68AD"/>
    <w:rsid w:val="446F4193"/>
    <w:rsid w:val="447C5580"/>
    <w:rsid w:val="44802294"/>
    <w:rsid w:val="44933003"/>
    <w:rsid w:val="44A348E8"/>
    <w:rsid w:val="44A669A4"/>
    <w:rsid w:val="44BB64B1"/>
    <w:rsid w:val="44BE7129"/>
    <w:rsid w:val="44C64DE1"/>
    <w:rsid w:val="44CA077A"/>
    <w:rsid w:val="44E05567"/>
    <w:rsid w:val="44FB142E"/>
    <w:rsid w:val="450308A1"/>
    <w:rsid w:val="450B54E3"/>
    <w:rsid w:val="45154C23"/>
    <w:rsid w:val="4523227E"/>
    <w:rsid w:val="45587447"/>
    <w:rsid w:val="45831BD3"/>
    <w:rsid w:val="45AA0707"/>
    <w:rsid w:val="45AD0117"/>
    <w:rsid w:val="45C46553"/>
    <w:rsid w:val="45D050F7"/>
    <w:rsid w:val="460311DF"/>
    <w:rsid w:val="460E1266"/>
    <w:rsid w:val="460E364E"/>
    <w:rsid w:val="4616315D"/>
    <w:rsid w:val="462D6CB6"/>
    <w:rsid w:val="46323A43"/>
    <w:rsid w:val="4636785F"/>
    <w:rsid w:val="464235BB"/>
    <w:rsid w:val="464E4F40"/>
    <w:rsid w:val="464F3495"/>
    <w:rsid w:val="465A752D"/>
    <w:rsid w:val="46850F0D"/>
    <w:rsid w:val="46A813B1"/>
    <w:rsid w:val="46AE2D24"/>
    <w:rsid w:val="46BE11D2"/>
    <w:rsid w:val="46C93442"/>
    <w:rsid w:val="46D04139"/>
    <w:rsid w:val="46D11DA0"/>
    <w:rsid w:val="46D22C08"/>
    <w:rsid w:val="46D66E7E"/>
    <w:rsid w:val="47062DBC"/>
    <w:rsid w:val="47102C28"/>
    <w:rsid w:val="471E091B"/>
    <w:rsid w:val="47484320"/>
    <w:rsid w:val="474F47DA"/>
    <w:rsid w:val="4763026F"/>
    <w:rsid w:val="47637D1D"/>
    <w:rsid w:val="4767410B"/>
    <w:rsid w:val="476752DE"/>
    <w:rsid w:val="476D5F64"/>
    <w:rsid w:val="477C7636"/>
    <w:rsid w:val="478F4529"/>
    <w:rsid w:val="47905BD9"/>
    <w:rsid w:val="479860FD"/>
    <w:rsid w:val="47A15515"/>
    <w:rsid w:val="47AB54FB"/>
    <w:rsid w:val="47B154FC"/>
    <w:rsid w:val="47CC7DC3"/>
    <w:rsid w:val="47D6725E"/>
    <w:rsid w:val="47E72493"/>
    <w:rsid w:val="47EC58D8"/>
    <w:rsid w:val="47FB627A"/>
    <w:rsid w:val="4801223C"/>
    <w:rsid w:val="48263A37"/>
    <w:rsid w:val="483E714B"/>
    <w:rsid w:val="485D6AB4"/>
    <w:rsid w:val="48677637"/>
    <w:rsid w:val="48696A15"/>
    <w:rsid w:val="48700EC4"/>
    <w:rsid w:val="48736FE5"/>
    <w:rsid w:val="48820345"/>
    <w:rsid w:val="48897A55"/>
    <w:rsid w:val="488C2B31"/>
    <w:rsid w:val="48946DB3"/>
    <w:rsid w:val="48A759E0"/>
    <w:rsid w:val="48D271D6"/>
    <w:rsid w:val="48D2788D"/>
    <w:rsid w:val="48DC582B"/>
    <w:rsid w:val="48EC1647"/>
    <w:rsid w:val="48EE4E75"/>
    <w:rsid w:val="48EF261D"/>
    <w:rsid w:val="48F63469"/>
    <w:rsid w:val="48FA3774"/>
    <w:rsid w:val="4909445A"/>
    <w:rsid w:val="49137291"/>
    <w:rsid w:val="49183AF7"/>
    <w:rsid w:val="492F3366"/>
    <w:rsid w:val="493D2703"/>
    <w:rsid w:val="493F1E29"/>
    <w:rsid w:val="49400D9E"/>
    <w:rsid w:val="4941294C"/>
    <w:rsid w:val="494155FD"/>
    <w:rsid w:val="494A3296"/>
    <w:rsid w:val="494E727D"/>
    <w:rsid w:val="496354C9"/>
    <w:rsid w:val="49904484"/>
    <w:rsid w:val="49971BC9"/>
    <w:rsid w:val="499D73CF"/>
    <w:rsid w:val="499F6145"/>
    <w:rsid w:val="49AA09BC"/>
    <w:rsid w:val="49AC74EA"/>
    <w:rsid w:val="49B506E6"/>
    <w:rsid w:val="49DE4EDA"/>
    <w:rsid w:val="49F27A70"/>
    <w:rsid w:val="49FF4DF3"/>
    <w:rsid w:val="4A017983"/>
    <w:rsid w:val="4A0D7322"/>
    <w:rsid w:val="4A157921"/>
    <w:rsid w:val="4A22574A"/>
    <w:rsid w:val="4A2B1E02"/>
    <w:rsid w:val="4A397328"/>
    <w:rsid w:val="4A3C3BAF"/>
    <w:rsid w:val="4A3D3D3A"/>
    <w:rsid w:val="4A4F5F5A"/>
    <w:rsid w:val="4A522478"/>
    <w:rsid w:val="4A5B3DD2"/>
    <w:rsid w:val="4A6513E7"/>
    <w:rsid w:val="4A6F497E"/>
    <w:rsid w:val="4A720783"/>
    <w:rsid w:val="4A8538BF"/>
    <w:rsid w:val="4A9B43F2"/>
    <w:rsid w:val="4AA00634"/>
    <w:rsid w:val="4ACE20A8"/>
    <w:rsid w:val="4ADA2714"/>
    <w:rsid w:val="4ADA5F94"/>
    <w:rsid w:val="4AFA2620"/>
    <w:rsid w:val="4B0744A1"/>
    <w:rsid w:val="4B1D46E9"/>
    <w:rsid w:val="4B4244A9"/>
    <w:rsid w:val="4B457129"/>
    <w:rsid w:val="4B5E01A6"/>
    <w:rsid w:val="4B6C00E5"/>
    <w:rsid w:val="4B6D5E20"/>
    <w:rsid w:val="4B6D7EDB"/>
    <w:rsid w:val="4B784894"/>
    <w:rsid w:val="4B83118D"/>
    <w:rsid w:val="4B8D1A95"/>
    <w:rsid w:val="4B945132"/>
    <w:rsid w:val="4B9E4F97"/>
    <w:rsid w:val="4BB228E9"/>
    <w:rsid w:val="4BB445F5"/>
    <w:rsid w:val="4BCC331B"/>
    <w:rsid w:val="4BD40C9D"/>
    <w:rsid w:val="4BED5AA0"/>
    <w:rsid w:val="4BF45949"/>
    <w:rsid w:val="4C062899"/>
    <w:rsid w:val="4C0F264A"/>
    <w:rsid w:val="4C1C35A1"/>
    <w:rsid w:val="4C3A14A5"/>
    <w:rsid w:val="4C3F25A8"/>
    <w:rsid w:val="4C4439EE"/>
    <w:rsid w:val="4C487A0B"/>
    <w:rsid w:val="4C5E7955"/>
    <w:rsid w:val="4C6005B3"/>
    <w:rsid w:val="4C737787"/>
    <w:rsid w:val="4C797672"/>
    <w:rsid w:val="4C7C2041"/>
    <w:rsid w:val="4C85524D"/>
    <w:rsid w:val="4C867E71"/>
    <w:rsid w:val="4C8904AA"/>
    <w:rsid w:val="4C973911"/>
    <w:rsid w:val="4CA8542B"/>
    <w:rsid w:val="4CC75C5D"/>
    <w:rsid w:val="4CD054D2"/>
    <w:rsid w:val="4CD853F5"/>
    <w:rsid w:val="4CDF60E5"/>
    <w:rsid w:val="4CE96C8B"/>
    <w:rsid w:val="4CF20D80"/>
    <w:rsid w:val="4CF3098E"/>
    <w:rsid w:val="4CF72FD6"/>
    <w:rsid w:val="4CFA5D61"/>
    <w:rsid w:val="4D163416"/>
    <w:rsid w:val="4D1C5F0B"/>
    <w:rsid w:val="4D1E1B43"/>
    <w:rsid w:val="4D2D6FE3"/>
    <w:rsid w:val="4D3A0874"/>
    <w:rsid w:val="4D7B5CF3"/>
    <w:rsid w:val="4D917C3A"/>
    <w:rsid w:val="4D9C15A2"/>
    <w:rsid w:val="4D9D67FC"/>
    <w:rsid w:val="4DB015A2"/>
    <w:rsid w:val="4DBC6816"/>
    <w:rsid w:val="4DBD5CEA"/>
    <w:rsid w:val="4DBE4E66"/>
    <w:rsid w:val="4DC6279C"/>
    <w:rsid w:val="4DCB2FAF"/>
    <w:rsid w:val="4DCD4DD0"/>
    <w:rsid w:val="4DD5486F"/>
    <w:rsid w:val="4DE32A55"/>
    <w:rsid w:val="4DFD205B"/>
    <w:rsid w:val="4E1C3611"/>
    <w:rsid w:val="4E234732"/>
    <w:rsid w:val="4E2762D8"/>
    <w:rsid w:val="4E2E7CB8"/>
    <w:rsid w:val="4E3B3BFE"/>
    <w:rsid w:val="4E3D0426"/>
    <w:rsid w:val="4E437E85"/>
    <w:rsid w:val="4E4E313D"/>
    <w:rsid w:val="4E551298"/>
    <w:rsid w:val="4E616152"/>
    <w:rsid w:val="4E7C1F43"/>
    <w:rsid w:val="4E8B7DB7"/>
    <w:rsid w:val="4EA7129A"/>
    <w:rsid w:val="4EB330D2"/>
    <w:rsid w:val="4EB43DCC"/>
    <w:rsid w:val="4ECB6600"/>
    <w:rsid w:val="4EE85DF4"/>
    <w:rsid w:val="4EF05CCC"/>
    <w:rsid w:val="4EF20362"/>
    <w:rsid w:val="4F0A48B6"/>
    <w:rsid w:val="4F121423"/>
    <w:rsid w:val="4F2174C3"/>
    <w:rsid w:val="4F2B27B0"/>
    <w:rsid w:val="4F3904A0"/>
    <w:rsid w:val="4F404829"/>
    <w:rsid w:val="4F411B7D"/>
    <w:rsid w:val="4F7673B3"/>
    <w:rsid w:val="4F8113BC"/>
    <w:rsid w:val="4F954CF8"/>
    <w:rsid w:val="4FCA7C81"/>
    <w:rsid w:val="4FDB1D74"/>
    <w:rsid w:val="4FDB2C3D"/>
    <w:rsid w:val="5013292E"/>
    <w:rsid w:val="50185A2E"/>
    <w:rsid w:val="503377CC"/>
    <w:rsid w:val="504B3285"/>
    <w:rsid w:val="50501516"/>
    <w:rsid w:val="5059611D"/>
    <w:rsid w:val="50644FAE"/>
    <w:rsid w:val="50663721"/>
    <w:rsid w:val="506C27A9"/>
    <w:rsid w:val="50852812"/>
    <w:rsid w:val="50A015CF"/>
    <w:rsid w:val="50A05175"/>
    <w:rsid w:val="50A656EF"/>
    <w:rsid w:val="50E03228"/>
    <w:rsid w:val="50FE75A6"/>
    <w:rsid w:val="510726A6"/>
    <w:rsid w:val="510F0359"/>
    <w:rsid w:val="511374B2"/>
    <w:rsid w:val="512748BA"/>
    <w:rsid w:val="51472DC6"/>
    <w:rsid w:val="5155108E"/>
    <w:rsid w:val="51666332"/>
    <w:rsid w:val="517E4AFD"/>
    <w:rsid w:val="51A40779"/>
    <w:rsid w:val="51A92721"/>
    <w:rsid w:val="51B21048"/>
    <w:rsid w:val="51BF2DA9"/>
    <w:rsid w:val="51D03BBC"/>
    <w:rsid w:val="51D138FE"/>
    <w:rsid w:val="51D34D75"/>
    <w:rsid w:val="51DF7BA0"/>
    <w:rsid w:val="51F47CA5"/>
    <w:rsid w:val="5226087A"/>
    <w:rsid w:val="522F2EFE"/>
    <w:rsid w:val="523D001B"/>
    <w:rsid w:val="523E19D4"/>
    <w:rsid w:val="5292320F"/>
    <w:rsid w:val="529E5462"/>
    <w:rsid w:val="52A5375C"/>
    <w:rsid w:val="52A57B1F"/>
    <w:rsid w:val="52A91E88"/>
    <w:rsid w:val="52BD7632"/>
    <w:rsid w:val="52C275F3"/>
    <w:rsid w:val="52CC7C53"/>
    <w:rsid w:val="52D307F4"/>
    <w:rsid w:val="52E05F1E"/>
    <w:rsid w:val="52E47772"/>
    <w:rsid w:val="52E8177D"/>
    <w:rsid w:val="52F9702D"/>
    <w:rsid w:val="530959BF"/>
    <w:rsid w:val="530D0EF1"/>
    <w:rsid w:val="53112FBA"/>
    <w:rsid w:val="53147A62"/>
    <w:rsid w:val="53280E7A"/>
    <w:rsid w:val="53377F53"/>
    <w:rsid w:val="533E7105"/>
    <w:rsid w:val="53477E01"/>
    <w:rsid w:val="53947C84"/>
    <w:rsid w:val="53A41A07"/>
    <w:rsid w:val="53A54813"/>
    <w:rsid w:val="53FD6A7D"/>
    <w:rsid w:val="540F2695"/>
    <w:rsid w:val="54140A0B"/>
    <w:rsid w:val="542C22A5"/>
    <w:rsid w:val="543962E1"/>
    <w:rsid w:val="54467B4E"/>
    <w:rsid w:val="544A1E4B"/>
    <w:rsid w:val="545C7BF3"/>
    <w:rsid w:val="546B1C7C"/>
    <w:rsid w:val="546F21CB"/>
    <w:rsid w:val="547C6802"/>
    <w:rsid w:val="54BD562F"/>
    <w:rsid w:val="54BE74A3"/>
    <w:rsid w:val="54DF3EDE"/>
    <w:rsid w:val="54E2585B"/>
    <w:rsid w:val="54E8375B"/>
    <w:rsid w:val="54F43DC1"/>
    <w:rsid w:val="54F57C48"/>
    <w:rsid w:val="54FA6E0B"/>
    <w:rsid w:val="54FD5A57"/>
    <w:rsid w:val="55030A7A"/>
    <w:rsid w:val="550417D1"/>
    <w:rsid w:val="552D19D8"/>
    <w:rsid w:val="553B198C"/>
    <w:rsid w:val="554C2215"/>
    <w:rsid w:val="556E132C"/>
    <w:rsid w:val="55770A32"/>
    <w:rsid w:val="558B05F2"/>
    <w:rsid w:val="559A77C6"/>
    <w:rsid w:val="55A33825"/>
    <w:rsid w:val="55A62409"/>
    <w:rsid w:val="55B617DB"/>
    <w:rsid w:val="55DD5C14"/>
    <w:rsid w:val="55F46D4E"/>
    <w:rsid w:val="55FD2E05"/>
    <w:rsid w:val="562F281C"/>
    <w:rsid w:val="565620C8"/>
    <w:rsid w:val="5656616F"/>
    <w:rsid w:val="56586416"/>
    <w:rsid w:val="56787ADE"/>
    <w:rsid w:val="568D4E07"/>
    <w:rsid w:val="569206D4"/>
    <w:rsid w:val="56987FBC"/>
    <w:rsid w:val="56A655C7"/>
    <w:rsid w:val="56BD3365"/>
    <w:rsid w:val="56BE42B0"/>
    <w:rsid w:val="56BE4BA5"/>
    <w:rsid w:val="56D526B2"/>
    <w:rsid w:val="56F0768B"/>
    <w:rsid w:val="56F252E1"/>
    <w:rsid w:val="56F578B4"/>
    <w:rsid w:val="57002607"/>
    <w:rsid w:val="57095E3E"/>
    <w:rsid w:val="571524DF"/>
    <w:rsid w:val="57275485"/>
    <w:rsid w:val="57512E6C"/>
    <w:rsid w:val="57532F5C"/>
    <w:rsid w:val="575B0C1B"/>
    <w:rsid w:val="575C240E"/>
    <w:rsid w:val="575D70DE"/>
    <w:rsid w:val="576517B5"/>
    <w:rsid w:val="577A5591"/>
    <w:rsid w:val="577D66E1"/>
    <w:rsid w:val="57835203"/>
    <w:rsid w:val="57836933"/>
    <w:rsid w:val="579354FA"/>
    <w:rsid w:val="579D0A55"/>
    <w:rsid w:val="579E6A24"/>
    <w:rsid w:val="57A031F3"/>
    <w:rsid w:val="57AD2C27"/>
    <w:rsid w:val="57B31CAA"/>
    <w:rsid w:val="57CC0B14"/>
    <w:rsid w:val="57CF6705"/>
    <w:rsid w:val="57D56B93"/>
    <w:rsid w:val="57DA11EC"/>
    <w:rsid w:val="57F06A1A"/>
    <w:rsid w:val="58103D8E"/>
    <w:rsid w:val="5826325B"/>
    <w:rsid w:val="583E45B7"/>
    <w:rsid w:val="584B05DC"/>
    <w:rsid w:val="587F6466"/>
    <w:rsid w:val="589B6EDC"/>
    <w:rsid w:val="58A26C3B"/>
    <w:rsid w:val="58B62A53"/>
    <w:rsid w:val="58F24F57"/>
    <w:rsid w:val="58FF6988"/>
    <w:rsid w:val="59032BF6"/>
    <w:rsid w:val="590653A8"/>
    <w:rsid w:val="5910506B"/>
    <w:rsid w:val="592230AD"/>
    <w:rsid w:val="59357973"/>
    <w:rsid w:val="593A69A8"/>
    <w:rsid w:val="59486D66"/>
    <w:rsid w:val="594C4B7A"/>
    <w:rsid w:val="595D697F"/>
    <w:rsid w:val="597B1B6B"/>
    <w:rsid w:val="598002BB"/>
    <w:rsid w:val="5984394F"/>
    <w:rsid w:val="59877F41"/>
    <w:rsid w:val="59B916F3"/>
    <w:rsid w:val="59D135E2"/>
    <w:rsid w:val="59D760CC"/>
    <w:rsid w:val="59ED1916"/>
    <w:rsid w:val="59EE139F"/>
    <w:rsid w:val="59F42A6D"/>
    <w:rsid w:val="59FB3856"/>
    <w:rsid w:val="5A097D81"/>
    <w:rsid w:val="5A2C670E"/>
    <w:rsid w:val="5A2D2007"/>
    <w:rsid w:val="5A381DE1"/>
    <w:rsid w:val="5A3C08FF"/>
    <w:rsid w:val="5A3D3A19"/>
    <w:rsid w:val="5A4B388D"/>
    <w:rsid w:val="5A5D40F5"/>
    <w:rsid w:val="5A6F56E9"/>
    <w:rsid w:val="5A747C6B"/>
    <w:rsid w:val="5A7E14D4"/>
    <w:rsid w:val="5A904C6C"/>
    <w:rsid w:val="5A97782C"/>
    <w:rsid w:val="5A9C2808"/>
    <w:rsid w:val="5AA82243"/>
    <w:rsid w:val="5AC448FD"/>
    <w:rsid w:val="5AC81C60"/>
    <w:rsid w:val="5AC842E2"/>
    <w:rsid w:val="5AC953B8"/>
    <w:rsid w:val="5AD0460F"/>
    <w:rsid w:val="5AEA1FF0"/>
    <w:rsid w:val="5AF249F6"/>
    <w:rsid w:val="5B0478A1"/>
    <w:rsid w:val="5B0E7E8B"/>
    <w:rsid w:val="5B162B0C"/>
    <w:rsid w:val="5B1B1277"/>
    <w:rsid w:val="5B1B13A7"/>
    <w:rsid w:val="5B1C4355"/>
    <w:rsid w:val="5B1E5B85"/>
    <w:rsid w:val="5B22109D"/>
    <w:rsid w:val="5B247BAB"/>
    <w:rsid w:val="5B321A89"/>
    <w:rsid w:val="5B3931C3"/>
    <w:rsid w:val="5B3D578D"/>
    <w:rsid w:val="5B586604"/>
    <w:rsid w:val="5B5E1607"/>
    <w:rsid w:val="5B5E2370"/>
    <w:rsid w:val="5B947FC6"/>
    <w:rsid w:val="5B984E7B"/>
    <w:rsid w:val="5B9E63E1"/>
    <w:rsid w:val="5BCA3DF9"/>
    <w:rsid w:val="5BE20E28"/>
    <w:rsid w:val="5BE54349"/>
    <w:rsid w:val="5BE6568B"/>
    <w:rsid w:val="5BF5549A"/>
    <w:rsid w:val="5BF757FC"/>
    <w:rsid w:val="5C0440F6"/>
    <w:rsid w:val="5C060A13"/>
    <w:rsid w:val="5C0B24A8"/>
    <w:rsid w:val="5C0C34F4"/>
    <w:rsid w:val="5C2B073E"/>
    <w:rsid w:val="5C483C2A"/>
    <w:rsid w:val="5C604D3F"/>
    <w:rsid w:val="5C6E4D42"/>
    <w:rsid w:val="5C826EC7"/>
    <w:rsid w:val="5C8A401E"/>
    <w:rsid w:val="5C9B0B53"/>
    <w:rsid w:val="5CA16EC6"/>
    <w:rsid w:val="5CA22247"/>
    <w:rsid w:val="5CB81413"/>
    <w:rsid w:val="5CC256E1"/>
    <w:rsid w:val="5CF234BC"/>
    <w:rsid w:val="5CF3329D"/>
    <w:rsid w:val="5CFC3FAA"/>
    <w:rsid w:val="5D137E21"/>
    <w:rsid w:val="5D1A2A80"/>
    <w:rsid w:val="5D2E6FEA"/>
    <w:rsid w:val="5D5304C2"/>
    <w:rsid w:val="5D56196D"/>
    <w:rsid w:val="5D562E99"/>
    <w:rsid w:val="5D6218E0"/>
    <w:rsid w:val="5D6545E8"/>
    <w:rsid w:val="5D6C3B4B"/>
    <w:rsid w:val="5D727CC0"/>
    <w:rsid w:val="5D7378F8"/>
    <w:rsid w:val="5D773E23"/>
    <w:rsid w:val="5D820A90"/>
    <w:rsid w:val="5D934E3F"/>
    <w:rsid w:val="5DCD7E02"/>
    <w:rsid w:val="5DD82FE9"/>
    <w:rsid w:val="5DDC056D"/>
    <w:rsid w:val="5DFA42DE"/>
    <w:rsid w:val="5E136C65"/>
    <w:rsid w:val="5E2353FE"/>
    <w:rsid w:val="5E2D3647"/>
    <w:rsid w:val="5E322942"/>
    <w:rsid w:val="5E395A5D"/>
    <w:rsid w:val="5E5873E1"/>
    <w:rsid w:val="5E60077E"/>
    <w:rsid w:val="5E700146"/>
    <w:rsid w:val="5E7F1967"/>
    <w:rsid w:val="5E900B65"/>
    <w:rsid w:val="5EB50569"/>
    <w:rsid w:val="5EBB2817"/>
    <w:rsid w:val="5EBB5D29"/>
    <w:rsid w:val="5EBF5D71"/>
    <w:rsid w:val="5EC134DD"/>
    <w:rsid w:val="5ECE187C"/>
    <w:rsid w:val="5ED7432A"/>
    <w:rsid w:val="5EDC7C98"/>
    <w:rsid w:val="5EE438D3"/>
    <w:rsid w:val="5EF911FF"/>
    <w:rsid w:val="5F0340FC"/>
    <w:rsid w:val="5F0573F0"/>
    <w:rsid w:val="5F1470D2"/>
    <w:rsid w:val="5F321D73"/>
    <w:rsid w:val="5F505A7C"/>
    <w:rsid w:val="5F73754F"/>
    <w:rsid w:val="5FA204DE"/>
    <w:rsid w:val="5FA52C93"/>
    <w:rsid w:val="5FBA5FC6"/>
    <w:rsid w:val="5FC47102"/>
    <w:rsid w:val="5FCB1A17"/>
    <w:rsid w:val="5FF62861"/>
    <w:rsid w:val="5FFB29C1"/>
    <w:rsid w:val="5FFE356C"/>
    <w:rsid w:val="601012E6"/>
    <w:rsid w:val="601100BF"/>
    <w:rsid w:val="60161C80"/>
    <w:rsid w:val="60180A56"/>
    <w:rsid w:val="603758A7"/>
    <w:rsid w:val="60376061"/>
    <w:rsid w:val="60442123"/>
    <w:rsid w:val="6048342C"/>
    <w:rsid w:val="604E210F"/>
    <w:rsid w:val="60707B1B"/>
    <w:rsid w:val="60720639"/>
    <w:rsid w:val="607A7639"/>
    <w:rsid w:val="60865F95"/>
    <w:rsid w:val="608942CF"/>
    <w:rsid w:val="608D2B4D"/>
    <w:rsid w:val="60925890"/>
    <w:rsid w:val="609F02C4"/>
    <w:rsid w:val="60A657A6"/>
    <w:rsid w:val="60C408F7"/>
    <w:rsid w:val="60CC5629"/>
    <w:rsid w:val="610B5063"/>
    <w:rsid w:val="610F257D"/>
    <w:rsid w:val="611149E0"/>
    <w:rsid w:val="61174002"/>
    <w:rsid w:val="611C5132"/>
    <w:rsid w:val="611E532D"/>
    <w:rsid w:val="61205C87"/>
    <w:rsid w:val="61295C6B"/>
    <w:rsid w:val="612D1FFE"/>
    <w:rsid w:val="61313053"/>
    <w:rsid w:val="613C06BF"/>
    <w:rsid w:val="61415CF7"/>
    <w:rsid w:val="61423F06"/>
    <w:rsid w:val="61502DB2"/>
    <w:rsid w:val="61504B2D"/>
    <w:rsid w:val="6153751D"/>
    <w:rsid w:val="61642418"/>
    <w:rsid w:val="617015A7"/>
    <w:rsid w:val="61721933"/>
    <w:rsid w:val="61837AAD"/>
    <w:rsid w:val="619E0C84"/>
    <w:rsid w:val="61A21373"/>
    <w:rsid w:val="61B23376"/>
    <w:rsid w:val="61B348BF"/>
    <w:rsid w:val="61CB6431"/>
    <w:rsid w:val="61CF6BA1"/>
    <w:rsid w:val="61D439F2"/>
    <w:rsid w:val="61D867DC"/>
    <w:rsid w:val="61DD13AC"/>
    <w:rsid w:val="61E94830"/>
    <w:rsid w:val="61FB640C"/>
    <w:rsid w:val="61FE0910"/>
    <w:rsid w:val="6201147F"/>
    <w:rsid w:val="62165007"/>
    <w:rsid w:val="622428C3"/>
    <w:rsid w:val="62291980"/>
    <w:rsid w:val="62447339"/>
    <w:rsid w:val="62497F73"/>
    <w:rsid w:val="6251565A"/>
    <w:rsid w:val="6253780F"/>
    <w:rsid w:val="62537E07"/>
    <w:rsid w:val="625B0751"/>
    <w:rsid w:val="625B6DAC"/>
    <w:rsid w:val="626E51AF"/>
    <w:rsid w:val="62704188"/>
    <w:rsid w:val="6282124F"/>
    <w:rsid w:val="62A2218D"/>
    <w:rsid w:val="62A364AB"/>
    <w:rsid w:val="62B11685"/>
    <w:rsid w:val="62BD53D6"/>
    <w:rsid w:val="62BE3A3E"/>
    <w:rsid w:val="62C94799"/>
    <w:rsid w:val="62CC6BC2"/>
    <w:rsid w:val="62CC76BE"/>
    <w:rsid w:val="62CF31A4"/>
    <w:rsid w:val="62D624CC"/>
    <w:rsid w:val="62EB1EE3"/>
    <w:rsid w:val="62F603DE"/>
    <w:rsid w:val="63167533"/>
    <w:rsid w:val="631D0490"/>
    <w:rsid w:val="632C0953"/>
    <w:rsid w:val="63503046"/>
    <w:rsid w:val="636333A9"/>
    <w:rsid w:val="636367C4"/>
    <w:rsid w:val="63823865"/>
    <w:rsid w:val="638D2305"/>
    <w:rsid w:val="63976331"/>
    <w:rsid w:val="639E023C"/>
    <w:rsid w:val="63DC3CFB"/>
    <w:rsid w:val="63E11275"/>
    <w:rsid w:val="63FB6D8C"/>
    <w:rsid w:val="641F4E12"/>
    <w:rsid w:val="642235D4"/>
    <w:rsid w:val="6461015C"/>
    <w:rsid w:val="64632972"/>
    <w:rsid w:val="64685E42"/>
    <w:rsid w:val="647275C6"/>
    <w:rsid w:val="647D0487"/>
    <w:rsid w:val="64814069"/>
    <w:rsid w:val="64930036"/>
    <w:rsid w:val="649C151F"/>
    <w:rsid w:val="64BD1875"/>
    <w:rsid w:val="64BE4CB9"/>
    <w:rsid w:val="64CA3D69"/>
    <w:rsid w:val="64D406C3"/>
    <w:rsid w:val="64D80B25"/>
    <w:rsid w:val="64E94A14"/>
    <w:rsid w:val="64F07602"/>
    <w:rsid w:val="64F37782"/>
    <w:rsid w:val="65015586"/>
    <w:rsid w:val="65092051"/>
    <w:rsid w:val="651528B1"/>
    <w:rsid w:val="6525384B"/>
    <w:rsid w:val="653873C1"/>
    <w:rsid w:val="656111A7"/>
    <w:rsid w:val="65632BD3"/>
    <w:rsid w:val="656F1347"/>
    <w:rsid w:val="6597470F"/>
    <w:rsid w:val="65B82AE3"/>
    <w:rsid w:val="65EE5614"/>
    <w:rsid w:val="65F847E5"/>
    <w:rsid w:val="66127A2B"/>
    <w:rsid w:val="661D28D3"/>
    <w:rsid w:val="661E2AEC"/>
    <w:rsid w:val="66245169"/>
    <w:rsid w:val="665004C5"/>
    <w:rsid w:val="66560BF3"/>
    <w:rsid w:val="66580780"/>
    <w:rsid w:val="667173B3"/>
    <w:rsid w:val="667C131F"/>
    <w:rsid w:val="66840A06"/>
    <w:rsid w:val="66961029"/>
    <w:rsid w:val="66986EEF"/>
    <w:rsid w:val="66A658E8"/>
    <w:rsid w:val="66FF55A5"/>
    <w:rsid w:val="6701545B"/>
    <w:rsid w:val="67093884"/>
    <w:rsid w:val="671C09EE"/>
    <w:rsid w:val="674B1DDA"/>
    <w:rsid w:val="67505700"/>
    <w:rsid w:val="675373F2"/>
    <w:rsid w:val="6761194F"/>
    <w:rsid w:val="67826AA1"/>
    <w:rsid w:val="678E12B1"/>
    <w:rsid w:val="679202A6"/>
    <w:rsid w:val="679E623E"/>
    <w:rsid w:val="67CC5D0B"/>
    <w:rsid w:val="67D24459"/>
    <w:rsid w:val="67DC632F"/>
    <w:rsid w:val="67EA1E66"/>
    <w:rsid w:val="67EC64A6"/>
    <w:rsid w:val="67F72037"/>
    <w:rsid w:val="67F91303"/>
    <w:rsid w:val="680965A3"/>
    <w:rsid w:val="681164F0"/>
    <w:rsid w:val="683C6F1C"/>
    <w:rsid w:val="684451BD"/>
    <w:rsid w:val="68480413"/>
    <w:rsid w:val="684A5FE1"/>
    <w:rsid w:val="684C25BE"/>
    <w:rsid w:val="684F3C1F"/>
    <w:rsid w:val="68503DD4"/>
    <w:rsid w:val="68570284"/>
    <w:rsid w:val="685D3A1F"/>
    <w:rsid w:val="685E19CC"/>
    <w:rsid w:val="68691E82"/>
    <w:rsid w:val="686D4744"/>
    <w:rsid w:val="68701EBA"/>
    <w:rsid w:val="68704379"/>
    <w:rsid w:val="68711D16"/>
    <w:rsid w:val="68855564"/>
    <w:rsid w:val="68AA3221"/>
    <w:rsid w:val="68AD22DE"/>
    <w:rsid w:val="68C5395F"/>
    <w:rsid w:val="68C66820"/>
    <w:rsid w:val="68D07C3B"/>
    <w:rsid w:val="68F24EA5"/>
    <w:rsid w:val="69125893"/>
    <w:rsid w:val="69136239"/>
    <w:rsid w:val="691A1E9E"/>
    <w:rsid w:val="691A21EB"/>
    <w:rsid w:val="692231E7"/>
    <w:rsid w:val="69372D2D"/>
    <w:rsid w:val="693F4883"/>
    <w:rsid w:val="6944647D"/>
    <w:rsid w:val="694756B4"/>
    <w:rsid w:val="69552E61"/>
    <w:rsid w:val="695A72CC"/>
    <w:rsid w:val="69634472"/>
    <w:rsid w:val="696E49D5"/>
    <w:rsid w:val="698958A9"/>
    <w:rsid w:val="69A0429B"/>
    <w:rsid w:val="69B74E86"/>
    <w:rsid w:val="69C552B6"/>
    <w:rsid w:val="69CF18FD"/>
    <w:rsid w:val="69D13FF7"/>
    <w:rsid w:val="69DC07FD"/>
    <w:rsid w:val="69E17868"/>
    <w:rsid w:val="69EC37A6"/>
    <w:rsid w:val="69F60125"/>
    <w:rsid w:val="6A014FDB"/>
    <w:rsid w:val="6A081A3C"/>
    <w:rsid w:val="6A1560F9"/>
    <w:rsid w:val="6A225A14"/>
    <w:rsid w:val="6A5948F4"/>
    <w:rsid w:val="6A64428A"/>
    <w:rsid w:val="6A6C393F"/>
    <w:rsid w:val="6A7E3405"/>
    <w:rsid w:val="6A88064D"/>
    <w:rsid w:val="6A8B4379"/>
    <w:rsid w:val="6A966928"/>
    <w:rsid w:val="6AA77761"/>
    <w:rsid w:val="6AA9172C"/>
    <w:rsid w:val="6AB55219"/>
    <w:rsid w:val="6B062CB6"/>
    <w:rsid w:val="6B14535B"/>
    <w:rsid w:val="6B1C19DE"/>
    <w:rsid w:val="6B1F514D"/>
    <w:rsid w:val="6B255A97"/>
    <w:rsid w:val="6B4844A2"/>
    <w:rsid w:val="6B4E2430"/>
    <w:rsid w:val="6B64365A"/>
    <w:rsid w:val="6B88667A"/>
    <w:rsid w:val="6B906E0E"/>
    <w:rsid w:val="6B9320D0"/>
    <w:rsid w:val="6B9F2FDF"/>
    <w:rsid w:val="6BAB13EF"/>
    <w:rsid w:val="6BB74F7F"/>
    <w:rsid w:val="6BD11E20"/>
    <w:rsid w:val="6BE859C0"/>
    <w:rsid w:val="6BF14C56"/>
    <w:rsid w:val="6C354469"/>
    <w:rsid w:val="6C38037E"/>
    <w:rsid w:val="6C4271E3"/>
    <w:rsid w:val="6C4C707B"/>
    <w:rsid w:val="6C5A50D5"/>
    <w:rsid w:val="6C632785"/>
    <w:rsid w:val="6C897D99"/>
    <w:rsid w:val="6C8B72C4"/>
    <w:rsid w:val="6CAB07BC"/>
    <w:rsid w:val="6CAD0093"/>
    <w:rsid w:val="6CB6339D"/>
    <w:rsid w:val="6CCC6273"/>
    <w:rsid w:val="6CF242CA"/>
    <w:rsid w:val="6D10166C"/>
    <w:rsid w:val="6D110506"/>
    <w:rsid w:val="6D187A9E"/>
    <w:rsid w:val="6D1D7CC3"/>
    <w:rsid w:val="6D4E65C5"/>
    <w:rsid w:val="6D614EC0"/>
    <w:rsid w:val="6D662AE1"/>
    <w:rsid w:val="6D6B7007"/>
    <w:rsid w:val="6D7A204A"/>
    <w:rsid w:val="6D821010"/>
    <w:rsid w:val="6D97346C"/>
    <w:rsid w:val="6DB523BB"/>
    <w:rsid w:val="6DB64584"/>
    <w:rsid w:val="6DDE0FD8"/>
    <w:rsid w:val="6DEE7015"/>
    <w:rsid w:val="6DF50D45"/>
    <w:rsid w:val="6DFF4C79"/>
    <w:rsid w:val="6E0405A2"/>
    <w:rsid w:val="6E0707D0"/>
    <w:rsid w:val="6E13144D"/>
    <w:rsid w:val="6E197E28"/>
    <w:rsid w:val="6E27765F"/>
    <w:rsid w:val="6E3F7ED7"/>
    <w:rsid w:val="6E483E72"/>
    <w:rsid w:val="6E4B0C8B"/>
    <w:rsid w:val="6E5338DB"/>
    <w:rsid w:val="6E57750F"/>
    <w:rsid w:val="6E724688"/>
    <w:rsid w:val="6EC4664F"/>
    <w:rsid w:val="6ED51A08"/>
    <w:rsid w:val="6EDD66C1"/>
    <w:rsid w:val="6EE90916"/>
    <w:rsid w:val="6EF03252"/>
    <w:rsid w:val="6EF9621B"/>
    <w:rsid w:val="6F011EF9"/>
    <w:rsid w:val="6F031374"/>
    <w:rsid w:val="6F280449"/>
    <w:rsid w:val="6F286106"/>
    <w:rsid w:val="6F352925"/>
    <w:rsid w:val="6F413940"/>
    <w:rsid w:val="6F433105"/>
    <w:rsid w:val="6F433B03"/>
    <w:rsid w:val="6F60077F"/>
    <w:rsid w:val="6F6734EB"/>
    <w:rsid w:val="6F742CAA"/>
    <w:rsid w:val="6F950A26"/>
    <w:rsid w:val="6FA81EC2"/>
    <w:rsid w:val="6FB7745F"/>
    <w:rsid w:val="6FCF66D9"/>
    <w:rsid w:val="6FD61570"/>
    <w:rsid w:val="6FE004C3"/>
    <w:rsid w:val="6FE86754"/>
    <w:rsid w:val="6FF16634"/>
    <w:rsid w:val="6FFA564B"/>
    <w:rsid w:val="6FFC53E2"/>
    <w:rsid w:val="700178D1"/>
    <w:rsid w:val="700D5561"/>
    <w:rsid w:val="700E52F3"/>
    <w:rsid w:val="70164617"/>
    <w:rsid w:val="70485F1E"/>
    <w:rsid w:val="705A4074"/>
    <w:rsid w:val="70604DDB"/>
    <w:rsid w:val="706970D9"/>
    <w:rsid w:val="7070548F"/>
    <w:rsid w:val="70756EB2"/>
    <w:rsid w:val="70790AB6"/>
    <w:rsid w:val="707921C5"/>
    <w:rsid w:val="708E7F74"/>
    <w:rsid w:val="70962E8A"/>
    <w:rsid w:val="70A91F4A"/>
    <w:rsid w:val="70B92CAF"/>
    <w:rsid w:val="70DB4F5A"/>
    <w:rsid w:val="70DB671B"/>
    <w:rsid w:val="710B664F"/>
    <w:rsid w:val="71143031"/>
    <w:rsid w:val="7131049A"/>
    <w:rsid w:val="713110F6"/>
    <w:rsid w:val="713C75E7"/>
    <w:rsid w:val="71457F95"/>
    <w:rsid w:val="71472865"/>
    <w:rsid w:val="716B2F75"/>
    <w:rsid w:val="716B31A7"/>
    <w:rsid w:val="717E75C6"/>
    <w:rsid w:val="719A66B4"/>
    <w:rsid w:val="719E7AF7"/>
    <w:rsid w:val="71A36FC3"/>
    <w:rsid w:val="71AA5C8A"/>
    <w:rsid w:val="71B21501"/>
    <w:rsid w:val="71C060E2"/>
    <w:rsid w:val="71C24E8E"/>
    <w:rsid w:val="71C67C2A"/>
    <w:rsid w:val="71D62D59"/>
    <w:rsid w:val="71DA12AF"/>
    <w:rsid w:val="71EC56EC"/>
    <w:rsid w:val="71F44D77"/>
    <w:rsid w:val="71FB4D19"/>
    <w:rsid w:val="7201748F"/>
    <w:rsid w:val="720F0711"/>
    <w:rsid w:val="72104B03"/>
    <w:rsid w:val="7215505E"/>
    <w:rsid w:val="723E1D04"/>
    <w:rsid w:val="72586F1A"/>
    <w:rsid w:val="726301C0"/>
    <w:rsid w:val="72675FEA"/>
    <w:rsid w:val="7268602C"/>
    <w:rsid w:val="72900B81"/>
    <w:rsid w:val="7292242B"/>
    <w:rsid w:val="72A26ADA"/>
    <w:rsid w:val="72E50D6F"/>
    <w:rsid w:val="72E71022"/>
    <w:rsid w:val="72FC12FC"/>
    <w:rsid w:val="730237FF"/>
    <w:rsid w:val="730F0C02"/>
    <w:rsid w:val="7312309A"/>
    <w:rsid w:val="731A0FA2"/>
    <w:rsid w:val="731E3A8B"/>
    <w:rsid w:val="731F2E02"/>
    <w:rsid w:val="73282033"/>
    <w:rsid w:val="732C403F"/>
    <w:rsid w:val="732F6D31"/>
    <w:rsid w:val="733F62DF"/>
    <w:rsid w:val="734C50E7"/>
    <w:rsid w:val="735E09A8"/>
    <w:rsid w:val="73801242"/>
    <w:rsid w:val="738173D0"/>
    <w:rsid w:val="73AF3210"/>
    <w:rsid w:val="73D836B4"/>
    <w:rsid w:val="73E64DBC"/>
    <w:rsid w:val="73E84C01"/>
    <w:rsid w:val="73EB7B67"/>
    <w:rsid w:val="73F11D88"/>
    <w:rsid w:val="73F63113"/>
    <w:rsid w:val="7403297B"/>
    <w:rsid w:val="74126A44"/>
    <w:rsid w:val="74142A1E"/>
    <w:rsid w:val="741432A7"/>
    <w:rsid w:val="7414476A"/>
    <w:rsid w:val="741B740F"/>
    <w:rsid w:val="74206CC2"/>
    <w:rsid w:val="742F4E53"/>
    <w:rsid w:val="743737A0"/>
    <w:rsid w:val="744636C4"/>
    <w:rsid w:val="74483D59"/>
    <w:rsid w:val="7460119E"/>
    <w:rsid w:val="746B76F2"/>
    <w:rsid w:val="74721181"/>
    <w:rsid w:val="74786090"/>
    <w:rsid w:val="74800BE0"/>
    <w:rsid w:val="748A5F2B"/>
    <w:rsid w:val="74923457"/>
    <w:rsid w:val="749C422C"/>
    <w:rsid w:val="74BC0093"/>
    <w:rsid w:val="74BF084C"/>
    <w:rsid w:val="74E4749C"/>
    <w:rsid w:val="74E84F9D"/>
    <w:rsid w:val="74FE4D25"/>
    <w:rsid w:val="750E2A30"/>
    <w:rsid w:val="75200C23"/>
    <w:rsid w:val="75217B8A"/>
    <w:rsid w:val="754F033C"/>
    <w:rsid w:val="75606009"/>
    <w:rsid w:val="75710A83"/>
    <w:rsid w:val="7571317C"/>
    <w:rsid w:val="7582022D"/>
    <w:rsid w:val="75A13457"/>
    <w:rsid w:val="75BF6065"/>
    <w:rsid w:val="75D170FC"/>
    <w:rsid w:val="75DF547A"/>
    <w:rsid w:val="75FE227C"/>
    <w:rsid w:val="7606634A"/>
    <w:rsid w:val="76191A7F"/>
    <w:rsid w:val="76202073"/>
    <w:rsid w:val="76291081"/>
    <w:rsid w:val="76297B03"/>
    <w:rsid w:val="762C5093"/>
    <w:rsid w:val="762F1DC1"/>
    <w:rsid w:val="763E0AAA"/>
    <w:rsid w:val="76451D29"/>
    <w:rsid w:val="76607052"/>
    <w:rsid w:val="766D43A3"/>
    <w:rsid w:val="76773B02"/>
    <w:rsid w:val="768D7A1B"/>
    <w:rsid w:val="768E4430"/>
    <w:rsid w:val="76B62860"/>
    <w:rsid w:val="76BF3699"/>
    <w:rsid w:val="76D23B47"/>
    <w:rsid w:val="76E45BBD"/>
    <w:rsid w:val="76F371BD"/>
    <w:rsid w:val="770B6CCF"/>
    <w:rsid w:val="77131F3C"/>
    <w:rsid w:val="77147A7A"/>
    <w:rsid w:val="773A0CEC"/>
    <w:rsid w:val="775477AE"/>
    <w:rsid w:val="775D10FC"/>
    <w:rsid w:val="77662FCF"/>
    <w:rsid w:val="777779DE"/>
    <w:rsid w:val="777C0244"/>
    <w:rsid w:val="77997E29"/>
    <w:rsid w:val="779D234D"/>
    <w:rsid w:val="77A04790"/>
    <w:rsid w:val="77A92C7B"/>
    <w:rsid w:val="77CB4327"/>
    <w:rsid w:val="77DA110D"/>
    <w:rsid w:val="77E01F4F"/>
    <w:rsid w:val="77EA3AE8"/>
    <w:rsid w:val="77FE4BA1"/>
    <w:rsid w:val="780F4864"/>
    <w:rsid w:val="781A4FE7"/>
    <w:rsid w:val="78270B38"/>
    <w:rsid w:val="78387CAC"/>
    <w:rsid w:val="784E737B"/>
    <w:rsid w:val="787F60A9"/>
    <w:rsid w:val="78840DD2"/>
    <w:rsid w:val="78874BC7"/>
    <w:rsid w:val="789B5471"/>
    <w:rsid w:val="78A32D0B"/>
    <w:rsid w:val="78B0178C"/>
    <w:rsid w:val="78B45A30"/>
    <w:rsid w:val="78D16B47"/>
    <w:rsid w:val="78E632BF"/>
    <w:rsid w:val="78F02C80"/>
    <w:rsid w:val="7909092D"/>
    <w:rsid w:val="79121265"/>
    <w:rsid w:val="79134C9F"/>
    <w:rsid w:val="79235ACC"/>
    <w:rsid w:val="79401FC4"/>
    <w:rsid w:val="7945319B"/>
    <w:rsid w:val="794F3991"/>
    <w:rsid w:val="7955432D"/>
    <w:rsid w:val="7963451C"/>
    <w:rsid w:val="7967122F"/>
    <w:rsid w:val="79671DCC"/>
    <w:rsid w:val="796B5325"/>
    <w:rsid w:val="797F2156"/>
    <w:rsid w:val="798B5EE4"/>
    <w:rsid w:val="799F7E30"/>
    <w:rsid w:val="79A442A9"/>
    <w:rsid w:val="79A82D94"/>
    <w:rsid w:val="79B64BAF"/>
    <w:rsid w:val="79BF0109"/>
    <w:rsid w:val="79C82E0E"/>
    <w:rsid w:val="79C944A4"/>
    <w:rsid w:val="79D02EBD"/>
    <w:rsid w:val="79DE2043"/>
    <w:rsid w:val="79E6297E"/>
    <w:rsid w:val="79ED6A84"/>
    <w:rsid w:val="79F67F66"/>
    <w:rsid w:val="7A033C0F"/>
    <w:rsid w:val="7A0E6B6D"/>
    <w:rsid w:val="7A122DC0"/>
    <w:rsid w:val="7A1D051E"/>
    <w:rsid w:val="7A2A6AAD"/>
    <w:rsid w:val="7A314B2F"/>
    <w:rsid w:val="7A535AF4"/>
    <w:rsid w:val="7A7F760A"/>
    <w:rsid w:val="7A853E44"/>
    <w:rsid w:val="7A856975"/>
    <w:rsid w:val="7A8B3AFA"/>
    <w:rsid w:val="7A970BE8"/>
    <w:rsid w:val="7AA01AD4"/>
    <w:rsid w:val="7AA165CB"/>
    <w:rsid w:val="7AC0039C"/>
    <w:rsid w:val="7AD3366B"/>
    <w:rsid w:val="7AE40568"/>
    <w:rsid w:val="7AE666D6"/>
    <w:rsid w:val="7AEE3968"/>
    <w:rsid w:val="7B1541E7"/>
    <w:rsid w:val="7B2157B9"/>
    <w:rsid w:val="7B2544E8"/>
    <w:rsid w:val="7B2E064D"/>
    <w:rsid w:val="7B3D46A3"/>
    <w:rsid w:val="7B3E25E7"/>
    <w:rsid w:val="7B3F535F"/>
    <w:rsid w:val="7B4638EB"/>
    <w:rsid w:val="7B4975F7"/>
    <w:rsid w:val="7B806B1F"/>
    <w:rsid w:val="7B8860EB"/>
    <w:rsid w:val="7B8A5A9E"/>
    <w:rsid w:val="7B90675B"/>
    <w:rsid w:val="7B9161B8"/>
    <w:rsid w:val="7B972A5E"/>
    <w:rsid w:val="7BA24EA2"/>
    <w:rsid w:val="7BA700B6"/>
    <w:rsid w:val="7BAB762F"/>
    <w:rsid w:val="7BBB282B"/>
    <w:rsid w:val="7BBC482D"/>
    <w:rsid w:val="7BC81E83"/>
    <w:rsid w:val="7BD735A3"/>
    <w:rsid w:val="7BD86364"/>
    <w:rsid w:val="7BDD7B35"/>
    <w:rsid w:val="7BF607C2"/>
    <w:rsid w:val="7BFB3CBB"/>
    <w:rsid w:val="7C18661C"/>
    <w:rsid w:val="7C354982"/>
    <w:rsid w:val="7C4C3D9A"/>
    <w:rsid w:val="7C513B57"/>
    <w:rsid w:val="7C515FEE"/>
    <w:rsid w:val="7C61446A"/>
    <w:rsid w:val="7CA5539C"/>
    <w:rsid w:val="7CA92AD6"/>
    <w:rsid w:val="7CB54FE1"/>
    <w:rsid w:val="7CC14D0D"/>
    <w:rsid w:val="7CCB16E0"/>
    <w:rsid w:val="7CED3907"/>
    <w:rsid w:val="7D0019BE"/>
    <w:rsid w:val="7D0C5EF1"/>
    <w:rsid w:val="7D1D701A"/>
    <w:rsid w:val="7D1E14CA"/>
    <w:rsid w:val="7D20094C"/>
    <w:rsid w:val="7D2A2B20"/>
    <w:rsid w:val="7D390BA7"/>
    <w:rsid w:val="7D3C3F9C"/>
    <w:rsid w:val="7D3C5F67"/>
    <w:rsid w:val="7D3C666A"/>
    <w:rsid w:val="7D4274BF"/>
    <w:rsid w:val="7D534BF8"/>
    <w:rsid w:val="7D665F8C"/>
    <w:rsid w:val="7D856FF1"/>
    <w:rsid w:val="7DA733BE"/>
    <w:rsid w:val="7DA926F9"/>
    <w:rsid w:val="7DC3609F"/>
    <w:rsid w:val="7DE8690D"/>
    <w:rsid w:val="7DEF7DAE"/>
    <w:rsid w:val="7E045EAF"/>
    <w:rsid w:val="7E064E3B"/>
    <w:rsid w:val="7E0D1AF8"/>
    <w:rsid w:val="7E0E2217"/>
    <w:rsid w:val="7E1D7741"/>
    <w:rsid w:val="7E344741"/>
    <w:rsid w:val="7E3D29D0"/>
    <w:rsid w:val="7E56047E"/>
    <w:rsid w:val="7E590666"/>
    <w:rsid w:val="7E607093"/>
    <w:rsid w:val="7E6B5AD9"/>
    <w:rsid w:val="7E8F55C4"/>
    <w:rsid w:val="7EA40095"/>
    <w:rsid w:val="7F166E22"/>
    <w:rsid w:val="7F1D4C40"/>
    <w:rsid w:val="7F273B00"/>
    <w:rsid w:val="7F4757B2"/>
    <w:rsid w:val="7F500B48"/>
    <w:rsid w:val="7F65393E"/>
    <w:rsid w:val="7F673E3D"/>
    <w:rsid w:val="7F6E45AE"/>
    <w:rsid w:val="7F6E77FB"/>
    <w:rsid w:val="7F7148CB"/>
    <w:rsid w:val="7F807E82"/>
    <w:rsid w:val="7FB704A7"/>
    <w:rsid w:val="7FBD7B5F"/>
    <w:rsid w:val="7FC01DF5"/>
    <w:rsid w:val="7FC87718"/>
    <w:rsid w:val="7FCF4B36"/>
    <w:rsid w:val="7FD622D1"/>
    <w:rsid w:val="7FDA77F9"/>
    <w:rsid w:val="7FDF70E1"/>
    <w:rsid w:val="7FE45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line="480" w:lineRule="atLeast"/>
      <w:outlineLvl w:val="0"/>
    </w:pPr>
    <w:rPr>
      <w:rFonts w:ascii="宋体" w:hAnsi="宋体"/>
      <w:b/>
      <w:sz w:val="30"/>
      <w:szCs w:val="30"/>
    </w:rPr>
  </w:style>
  <w:style w:type="paragraph" w:styleId="4">
    <w:name w:val="heading 2"/>
    <w:basedOn w:val="3"/>
    <w:next w:val="1"/>
    <w:semiHidden/>
    <w:unhideWhenUsed/>
    <w:qFormat/>
    <w:uiPriority w:val="0"/>
    <w:pPr>
      <w:outlineLvl w:val="1"/>
    </w:pPr>
    <w:rPr>
      <w:sz w:val="28"/>
    </w:rPr>
  </w:style>
  <w:style w:type="paragraph" w:styleId="5">
    <w:name w:val="heading 3"/>
    <w:basedOn w:val="1"/>
    <w:next w:val="1"/>
    <w:semiHidden/>
    <w:unhideWhenUsed/>
    <w:qFormat/>
    <w:uiPriority w:val="0"/>
    <w:pPr>
      <w:spacing w:line="480" w:lineRule="atLeast"/>
      <w:outlineLvl w:val="2"/>
    </w:pPr>
    <w:rPr>
      <w:rFonts w:ascii="宋体" w:hAnsi="宋体"/>
      <w:sz w:val="24"/>
      <w:szCs w:val="24"/>
    </w:rPr>
  </w:style>
  <w:style w:type="paragraph" w:styleId="6">
    <w:name w:val="heading 4"/>
    <w:basedOn w:val="1"/>
    <w:next w:val="7"/>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7">
    <w:name w:val="Normal Indent"/>
    <w:basedOn w:val="1"/>
    <w:next w:val="6"/>
    <w:qFormat/>
    <w:uiPriority w:val="0"/>
    <w:pPr>
      <w:ind w:firstLine="420"/>
    </w:pPr>
    <w:rPr>
      <w:rFonts w:eastAsia="宋体"/>
      <w:kern w:val="2"/>
      <w:sz w:val="21"/>
      <w:lang w:val="en-US" w:eastAsia="zh-CN" w:bidi="ar-SA"/>
    </w:rPr>
  </w:style>
  <w:style w:type="paragraph" w:styleId="8">
    <w:name w:val="annotation text"/>
    <w:basedOn w:val="1"/>
    <w:qFormat/>
    <w:uiPriority w:val="0"/>
    <w:pPr>
      <w:jc w:val="left"/>
    </w:pPr>
    <w:rPr>
      <w:szCs w:val="24"/>
    </w:r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styleId="10">
    <w:name w:val="List Bullet 5"/>
    <w:basedOn w:val="1"/>
    <w:qFormat/>
    <w:uiPriority w:val="0"/>
    <w:pPr>
      <w:numPr>
        <w:ilvl w:val="0"/>
        <w:numId w:val="1"/>
      </w:numPr>
    </w:pPr>
  </w:style>
  <w:style w:type="paragraph" w:styleId="11">
    <w:name w:val="Body Text Indent"/>
    <w:basedOn w:val="1"/>
    <w:qFormat/>
    <w:uiPriority w:val="0"/>
    <w:pPr>
      <w:spacing w:after="120" w:afterLines="0" w:afterAutospacing="0"/>
      <w:ind w:left="420" w:leftChars="200"/>
    </w:pPr>
  </w:style>
  <w:style w:type="paragraph" w:styleId="12">
    <w:name w:val="Plain Text"/>
    <w:basedOn w:val="1"/>
    <w:next w:val="1"/>
    <w:qFormat/>
    <w:uiPriority w:val="0"/>
    <w:rPr>
      <w:rFonts w:ascii="宋体" w:hAnsi="Courier New" w:eastAsia="宋体"/>
    </w:rPr>
  </w:style>
  <w:style w:type="paragraph" w:styleId="13">
    <w:name w:val="Date"/>
    <w:basedOn w:val="1"/>
    <w:next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ind w:firstLine="200" w:firstLineChars="200"/>
    </w:pPr>
    <w:rPr>
      <w:szCs w:val="22"/>
    </w:rPr>
  </w:style>
  <w:style w:type="paragraph" w:styleId="16">
    <w:name w:val="table of figures"/>
    <w:basedOn w:val="1"/>
    <w:next w:val="1"/>
    <w:qFormat/>
    <w:uiPriority w:val="0"/>
    <w:pPr>
      <w:ind w:leftChars="200" w:hanging="200" w:hangingChars="200"/>
    </w:pPr>
    <w:rPr>
      <w:szCs w:val="20"/>
    </w:rPr>
  </w:style>
  <w:style w:type="paragraph" w:styleId="17">
    <w:name w:val="Body Text 2"/>
    <w:basedOn w:val="1"/>
    <w:qFormat/>
    <w:uiPriority w:val="0"/>
    <w:pPr>
      <w:spacing w:after="120" w:afterLines="0" w:line="480" w:lineRule="auto"/>
    </w:pPr>
  </w:style>
  <w:style w:type="paragraph" w:styleId="18">
    <w:name w:val="index 1"/>
    <w:basedOn w:val="1"/>
    <w:next w:val="1"/>
    <w:qFormat/>
    <w:uiPriority w:val="0"/>
    <w:pPr>
      <w:spacing w:line="192" w:lineRule="auto"/>
      <w:jc w:val="center"/>
    </w:pPr>
    <w:rPr>
      <w:rFonts w:ascii="宋体" w:hAnsi="宋体" w:eastAsia="宋体" w:cs="Times New Roman"/>
      <w:szCs w:val="20"/>
    </w:rPr>
  </w:style>
  <w:style w:type="paragraph" w:styleId="19">
    <w:name w:val="Body Text First Indent"/>
    <w:basedOn w:val="9"/>
    <w:next w:val="1"/>
    <w:qFormat/>
    <w:uiPriority w:val="0"/>
    <w:pPr>
      <w:spacing w:after="120" w:line="240" w:lineRule="auto"/>
      <w:ind w:firstLine="420" w:firstLineChars="100"/>
    </w:pPr>
    <w:rPr>
      <w:sz w:val="28"/>
      <w:szCs w:val="24"/>
    </w:rPr>
  </w:style>
  <w:style w:type="paragraph" w:styleId="20">
    <w:name w:val="Body Text First Indent 2"/>
    <w:basedOn w:val="11"/>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basedOn w:val="25"/>
    <w:next w:val="12"/>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25">
    <w:name w:val="纯文本1"/>
    <w:basedOn w:val="1"/>
    <w:qFormat/>
    <w:uiPriority w:val="0"/>
    <w:pPr>
      <w:adjustRightInd w:val="0"/>
      <w:spacing w:line="240" w:lineRule="auto"/>
      <w:ind w:firstLine="0"/>
      <w:textAlignment w:val="baseline"/>
    </w:pPr>
    <w:rPr>
      <w:rFonts w:ascii="宋体" w:hAnsi="Courier New"/>
      <w:sz w:val="21"/>
      <w:szCs w:val="20"/>
    </w:rPr>
  </w:style>
  <w:style w:type="paragraph" w:customStyle="1" w:styleId="26">
    <w:name w:val="样式 正文文本 + 首行缩进:  2 字符"/>
    <w:basedOn w:val="9"/>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27">
    <w:name w:val="样式 样式 首行缩进:  2 字符 + 首行缩进:  2 字符"/>
    <w:basedOn w:val="1"/>
    <w:next w:val="15"/>
    <w:qFormat/>
    <w:uiPriority w:val="0"/>
    <w:pPr>
      <w:snapToGrid w:val="0"/>
      <w:spacing w:line="360" w:lineRule="auto"/>
      <w:ind w:firstLine="560"/>
    </w:pPr>
    <w:rPr>
      <w:sz w:val="28"/>
    </w:rPr>
  </w:style>
  <w:style w:type="paragraph" w:customStyle="1" w:styleId="28">
    <w:name w:val="样式 样式 样式 四号 左侧:  1.53 厘米 + 首行缩进:  2 字符 + 居中 左侧:  2 字符 首行缩进:  2..."/>
    <w:basedOn w:val="29"/>
    <w:qFormat/>
    <w:uiPriority w:val="0"/>
    <w:pPr>
      <w:ind w:firstLine="0" w:firstLineChars="0"/>
      <w:jc w:val="center"/>
    </w:pPr>
  </w:style>
  <w:style w:type="paragraph" w:customStyle="1" w:styleId="29">
    <w:name w:val="样式 样式 四号 左侧:  1.53 厘米 + 首行缩进:  2 字符"/>
    <w:basedOn w:val="30"/>
    <w:qFormat/>
    <w:uiPriority w:val="0"/>
    <w:pPr>
      <w:ind w:left="200" w:leftChars="200"/>
    </w:pPr>
    <w:rPr>
      <w:szCs w:val="20"/>
    </w:rPr>
  </w:style>
  <w:style w:type="paragraph" w:customStyle="1" w:styleId="30">
    <w:name w:val="样式 四号 左侧:  1.53 厘米"/>
    <w:basedOn w:val="1"/>
    <w:qFormat/>
    <w:uiPriority w:val="0"/>
    <w:pPr>
      <w:adjustRightInd w:val="0"/>
    </w:pPr>
    <w:rPr>
      <w:w w:val="90"/>
      <w:sz w:val="28"/>
      <w:szCs w:val="28"/>
    </w:rPr>
  </w:style>
  <w:style w:type="paragraph" w:customStyle="1" w:styleId="31">
    <w:name w:val="样式 小四 首行缩进:  0.85 厘米 行距: 1.5 倍行距"/>
    <w:basedOn w:val="1"/>
    <w:qFormat/>
    <w:uiPriority w:val="0"/>
    <w:pPr>
      <w:widowControl w:val="0"/>
      <w:adjustRightInd/>
      <w:snapToGrid/>
      <w:spacing w:after="0" w:line="360" w:lineRule="auto"/>
      <w:ind w:firstLine="480"/>
      <w:jc w:val="both"/>
    </w:pPr>
    <w:rPr>
      <w:rFonts w:ascii="Times New Roman" w:hAnsi="Times New Roman" w:eastAsia="宋体" w:cs="宋体"/>
      <w:kern w:val="2"/>
      <w:sz w:val="24"/>
      <w:szCs w:val="24"/>
    </w:rPr>
  </w:style>
  <w:style w:type="paragraph" w:customStyle="1" w:styleId="32">
    <w:name w:val="Table Paragraph"/>
    <w:basedOn w:val="1"/>
    <w:qFormat/>
    <w:uiPriority w:val="1"/>
    <w:rPr>
      <w:rFonts w:ascii="宋体" w:hAnsi="宋体" w:eastAsia="宋体" w:cs="宋体"/>
      <w:lang w:val="zh-CN" w:eastAsia="zh-CN" w:bidi="zh-CN"/>
    </w:rPr>
  </w:style>
  <w:style w:type="table" w:customStyle="1" w:styleId="33">
    <w:name w:val="TableGrid"/>
    <w:qFormat/>
    <w:uiPriority w:val="0"/>
    <w:tblPr>
      <w:tblCellMar>
        <w:top w:w="0" w:type="dxa"/>
        <w:left w:w="0" w:type="dxa"/>
        <w:bottom w:w="0" w:type="dxa"/>
        <w:right w:w="0" w:type="dxa"/>
      </w:tblCellMar>
    </w:tblPr>
  </w:style>
  <w:style w:type="paragraph" w:styleId="34">
    <w:name w:val="List Paragraph"/>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5">
    <w:name w:val="列出段落1"/>
    <w:basedOn w:val="1"/>
    <w:qFormat/>
    <w:uiPriority w:val="99"/>
    <w:pPr>
      <w:ind w:firstLine="420" w:firstLineChars="200"/>
    </w:pPr>
  </w:style>
  <w:style w:type="paragraph" w:customStyle="1" w:styleId="36">
    <w:name w:val="表格1"/>
    <w:basedOn w:val="7"/>
    <w:next w:val="7"/>
    <w:qFormat/>
    <w:uiPriority w:val="0"/>
    <w:pPr>
      <w:adjustRightInd w:val="0"/>
      <w:snapToGrid w:val="0"/>
      <w:spacing w:line="340" w:lineRule="exact"/>
      <w:ind w:firstLine="0" w:firstLineChars="0"/>
      <w:jc w:val="center"/>
    </w:pPr>
    <w:rPr>
      <w:szCs w:val="20"/>
    </w:rPr>
  </w:style>
  <w:style w:type="paragraph" w:customStyle="1" w:styleId="37">
    <w:name w:val="A-表格文字"/>
    <w:basedOn w:val="1"/>
    <w:next w:val="1"/>
    <w:qFormat/>
    <w:uiPriority w:val="0"/>
    <w:pPr>
      <w:widowControl w:val="0"/>
      <w:autoSpaceDE w:val="0"/>
      <w:autoSpaceDN w:val="0"/>
      <w:adjustRightInd w:val="0"/>
      <w:spacing w:line="240" w:lineRule="auto"/>
      <w:jc w:val="center"/>
      <w:textAlignment w:val="auto"/>
    </w:pPr>
    <w:rPr>
      <w:color w:val="auto"/>
      <w:szCs w:val="21"/>
      <w:u w:val="none" w:color="auto"/>
    </w:rPr>
  </w:style>
  <w:style w:type="paragraph" w:customStyle="1" w:styleId="38">
    <w:name w:val="表"/>
    <w:basedOn w:val="1"/>
    <w:qFormat/>
    <w:uiPriority w:val="0"/>
    <w:pPr>
      <w:widowControl w:val="0"/>
      <w:snapToGrid w:val="0"/>
      <w:spacing w:line="240" w:lineRule="auto"/>
      <w:jc w:val="center"/>
      <w:textAlignment w:val="auto"/>
    </w:pPr>
    <w:rPr>
      <w:spacing w:val="2"/>
      <w:szCs w:val="20"/>
      <w:u w:val="none" w:color="000000"/>
    </w:rPr>
  </w:style>
  <w:style w:type="paragraph" w:customStyle="1" w:styleId="39">
    <w:name w:val="表格内容5号"/>
    <w:qFormat/>
    <w:uiPriority w:val="0"/>
    <w:pPr>
      <w:widowControl w:val="0"/>
      <w:snapToGrid w:val="0"/>
      <w:jc w:val="center"/>
    </w:pPr>
    <w:rPr>
      <w:rFonts w:ascii="Times New Roman" w:hAnsi="Times New Roman" w:eastAsia="宋体" w:cs="Times New Roman"/>
      <w:kern w:val="2"/>
      <w:sz w:val="21"/>
      <w:szCs w:val="24"/>
      <w:lang w:val="en-US" w:eastAsia="zh-CN" w:bidi="ar-SA"/>
    </w:rPr>
  </w:style>
  <w:style w:type="paragraph" w:customStyle="1" w:styleId="40">
    <w:name w:val="表格"/>
    <w:basedOn w:val="9"/>
    <w:next w:val="1"/>
    <w:qFormat/>
    <w:uiPriority w:val="0"/>
    <w:pPr>
      <w:spacing w:line="240" w:lineRule="atLeast"/>
    </w:pPr>
    <w:rPr>
      <w:rFonts w:ascii="宋体" w:hAnsi="宋体"/>
      <w:sz w:val="24"/>
      <w:szCs w:val="24"/>
    </w:rPr>
  </w:style>
  <w:style w:type="character" w:customStyle="1" w:styleId="41">
    <w:name w:val="fontstyle01"/>
    <w:basedOn w:val="23"/>
    <w:qFormat/>
    <w:uiPriority w:val="0"/>
    <w:rPr>
      <w:rFonts w:hint="eastAsia" w:ascii="宋体" w:hAnsi="宋体" w:eastAsia="宋体"/>
      <w:color w:val="000000"/>
      <w:sz w:val="24"/>
      <w:szCs w:val="24"/>
    </w:rPr>
  </w:style>
  <w:style w:type="paragraph" w:customStyle="1" w:styleId="42">
    <w:name w:val="表格居中"/>
    <w:qFormat/>
    <w:uiPriority w:val="0"/>
    <w:pPr>
      <w:spacing w:line="440" w:lineRule="exact"/>
      <w:jc w:val="center"/>
    </w:pPr>
    <w:rPr>
      <w:rFonts w:ascii="Arial Unicode MS" w:hAnsi="Arial Unicode MS" w:eastAsia="MingLiU" w:cs="Arial Unicode MS"/>
      <w:kern w:val="2"/>
      <w:sz w:val="24"/>
      <w:szCs w:val="24"/>
      <w:lang w:val="en-US" w:eastAsia="zh-CN" w:bidi="ar-SA"/>
    </w:rPr>
  </w:style>
  <w:style w:type="paragraph" w:customStyle="1" w:styleId="43">
    <w:name w:val="表格内容"/>
    <w:qFormat/>
    <w:uiPriority w:val="0"/>
    <w:pPr>
      <w:adjustRightInd w:val="0"/>
      <w:snapToGrid w:val="0"/>
      <w:spacing w:line="360" w:lineRule="exact"/>
      <w:jc w:val="center"/>
    </w:pPr>
    <w:rPr>
      <w:rFonts w:ascii="Arial Unicode MS" w:hAnsi="Arial Unicode MS" w:eastAsia="宋体" w:cs="Arial Unicode MS"/>
      <w:color w:val="000000"/>
      <w:kern w:val="2"/>
      <w:sz w:val="21"/>
      <w:szCs w:val="24"/>
      <w:lang w:val="en-US" w:eastAsia="zh-CN" w:bidi="ar-SA"/>
    </w:rPr>
  </w:style>
  <w:style w:type="paragraph" w:customStyle="1" w:styleId="44">
    <w:name w:val="正文(首行缩进)"/>
    <w:basedOn w:val="1"/>
    <w:qFormat/>
    <w:uiPriority w:val="0"/>
    <w:pPr>
      <w:adjustRightInd w:val="0"/>
      <w:snapToGrid w:val="0"/>
      <w:spacing w:line="360" w:lineRule="auto"/>
      <w:ind w:firstLine="200" w:firstLineChars="200"/>
    </w:pPr>
    <w:rPr>
      <w:snapToGrid w:val="0"/>
      <w:kern w:val="0"/>
      <w:sz w:val="24"/>
    </w:rPr>
  </w:style>
  <w:style w:type="paragraph" w:customStyle="1" w:styleId="45">
    <w:name w:val="表内容"/>
    <w:basedOn w:val="1"/>
    <w:qFormat/>
    <w:uiPriority w:val="0"/>
    <w:pPr>
      <w:adjustRightInd w:val="0"/>
      <w:spacing w:line="320" w:lineRule="exact"/>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42"/>
    <customShpInfo spid="_x0000_s1043"/>
    <customShpInfo spid="_x0000_s1045"/>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6507</Words>
  <Characters>8063</Characters>
  <Lines>0</Lines>
  <Paragraphs>0</Paragraphs>
  <TotalTime>1</TotalTime>
  <ScaleCrop>false</ScaleCrop>
  <LinksUpToDate>false</LinksUpToDate>
  <CharactersWithSpaces>8191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2018-03-21T07:29:00Z</dcterms:created>
  <dc:creator>在天涯</dc:creator>
  <cp:lastModifiedBy>梁帅</cp:lastModifiedBy>
  <cp:lastPrinted>2022-09-23T06:21:00Z</cp:lastPrinted>
  <dcterms:modified xsi:type="dcterms:W3CDTF">2023-07-12T08:11:42Z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751CC2C93EA24E7FA1AA26DE5E0BF91F</vt:lpwstr>
  </property>
</Properties>
</file>